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C0A40" w14:textId="630002D1" w:rsidR="003674FF" w:rsidRPr="00173B58" w:rsidRDefault="003674FF" w:rsidP="00283829">
      <w:pPr>
        <w:tabs>
          <w:tab w:val="right" w:pos="9354"/>
        </w:tabs>
        <w:spacing w:before="120"/>
        <w:rPr>
          <w:rFonts w:ascii="Segoe UI" w:hAnsi="Segoe UI" w:cs="Segoe UI"/>
          <w:b/>
          <w:color w:val="808080"/>
          <w:szCs w:val="22"/>
        </w:rPr>
      </w:pPr>
      <w:r w:rsidRPr="00173B58">
        <w:rPr>
          <w:rFonts w:ascii="Segoe UI" w:hAnsi="Segoe UI" w:cs="Segoe UI"/>
          <w:b/>
          <w:color w:val="808080"/>
          <w:szCs w:val="22"/>
          <w:u w:color="808080"/>
        </w:rPr>
        <w:tab/>
      </w:r>
      <w:r w:rsidR="00173B58" w:rsidRPr="00173B58">
        <w:rPr>
          <w:rFonts w:ascii="Segoe UI" w:hAnsi="Segoe UI" w:cs="Segoe UI"/>
          <w:b/>
          <w:color w:val="808080"/>
          <w:szCs w:val="22"/>
          <w:u w:color="808080"/>
        </w:rPr>
        <w:t>Kennzahl</w:t>
      </w:r>
      <w:r w:rsidR="00CA1EFE" w:rsidRPr="00173B58">
        <w:rPr>
          <w:rFonts w:ascii="Segoe UI" w:hAnsi="Segoe UI" w:cs="Segoe UI"/>
          <w:b/>
          <w:color w:val="808080"/>
          <w:szCs w:val="22"/>
          <w:u w:color="808080"/>
        </w:rPr>
        <w:t xml:space="preserve">: </w:t>
      </w:r>
      <w:r w:rsidR="00E20CF3" w:rsidRPr="0081151B">
        <w:rPr>
          <w:rFonts w:ascii="Segoe UI" w:hAnsi="Segoe UI" w:cs="Segoe UI"/>
          <w:b/>
          <w:color w:val="FFFFFF" w:themeColor="background1"/>
          <w:szCs w:val="22"/>
          <w:u w:color="808080"/>
        </w:rPr>
        <w:t>089098</w:t>
      </w:r>
    </w:p>
    <w:p w14:paraId="1F7C0A42" w14:textId="19C8B925" w:rsidR="003674FF" w:rsidRPr="00173B58" w:rsidRDefault="003674FF" w:rsidP="00283829">
      <w:pPr>
        <w:spacing w:before="120"/>
        <w:rPr>
          <w:rFonts w:ascii="Segoe UI" w:hAnsi="Segoe UI" w:cs="Segoe UI"/>
          <w:b/>
          <w:color w:val="C00000"/>
          <w:sz w:val="28"/>
          <w:szCs w:val="22"/>
        </w:rPr>
      </w:pPr>
      <w:r w:rsidRPr="00173B58">
        <w:rPr>
          <w:rFonts w:ascii="Segoe UI" w:hAnsi="Segoe UI" w:cs="Segoe UI"/>
          <w:b/>
          <w:color w:val="C00000"/>
          <w:sz w:val="28"/>
          <w:szCs w:val="22"/>
        </w:rPr>
        <w:t>Entwurfs</w:t>
      </w:r>
      <w:r w:rsidR="00B827B7">
        <w:rPr>
          <w:rFonts w:ascii="Segoe UI" w:hAnsi="Segoe UI" w:cs="Segoe UI"/>
          <w:b/>
          <w:color w:val="C00000"/>
          <w:sz w:val="28"/>
          <w:szCs w:val="22"/>
        </w:rPr>
        <w:t>konzept</w:t>
      </w:r>
    </w:p>
    <w:p w14:paraId="1F7C0A43" w14:textId="4B9DF6DE" w:rsidR="000C6F68" w:rsidRPr="00173B58" w:rsidRDefault="003674FF" w:rsidP="00283829">
      <w:pPr>
        <w:spacing w:before="120"/>
        <w:rPr>
          <w:rFonts w:ascii="Segoe UI" w:hAnsi="Segoe UI" w:cs="Segoe UI"/>
          <w:b/>
          <w:szCs w:val="22"/>
        </w:rPr>
      </w:pPr>
      <w:r w:rsidRPr="00173B58">
        <w:rPr>
          <w:rFonts w:ascii="Segoe UI" w:hAnsi="Segoe UI" w:cs="Segoe UI"/>
          <w:b/>
          <w:szCs w:val="22"/>
        </w:rPr>
        <w:t>Leitidee</w:t>
      </w:r>
      <w:r w:rsidR="000C6F68" w:rsidRPr="00173B58">
        <w:rPr>
          <w:rFonts w:ascii="Segoe UI" w:hAnsi="Segoe UI" w:cs="Segoe UI"/>
          <w:b/>
          <w:szCs w:val="22"/>
        </w:rPr>
        <w:t xml:space="preserve"> &amp;</w:t>
      </w:r>
      <w:r w:rsidR="005561B8" w:rsidRPr="00173B58">
        <w:rPr>
          <w:rFonts w:ascii="Segoe UI" w:hAnsi="Segoe UI" w:cs="Segoe UI"/>
          <w:b/>
          <w:szCs w:val="22"/>
        </w:rPr>
        <w:t xml:space="preserve"> </w:t>
      </w:r>
      <w:r w:rsidR="000C6F68" w:rsidRPr="00173B58">
        <w:rPr>
          <w:rFonts w:ascii="Segoe UI" w:hAnsi="Segoe UI" w:cs="Segoe UI"/>
          <w:b/>
          <w:szCs w:val="22"/>
        </w:rPr>
        <w:t>Entwurfskonzept</w:t>
      </w:r>
    </w:p>
    <w:p w14:paraId="1F7C0A44" w14:textId="22A2641E" w:rsidR="00B9112D" w:rsidRDefault="00786A85" w:rsidP="00283829">
      <w:pPr>
        <w:spacing w:before="120"/>
        <w:rPr>
          <w:rFonts w:ascii="Segoe UI" w:hAnsi="Segoe UI" w:cs="Segoe UI"/>
          <w:i/>
          <w:iCs/>
          <w:szCs w:val="22"/>
        </w:rPr>
      </w:pPr>
      <w:r w:rsidRPr="00786A85">
        <w:rPr>
          <w:rFonts w:ascii="Segoe UI" w:hAnsi="Segoe UI" w:cs="Segoe UI"/>
          <w:i/>
          <w:iCs/>
          <w:szCs w:val="22"/>
        </w:rPr>
        <w:t>„Denkmal erhalten – vorsichtig ergänzen – nachhaltig optimieren.“</w:t>
      </w:r>
    </w:p>
    <w:p w14:paraId="69FE14CF" w14:textId="77777777" w:rsidR="003018F8" w:rsidRDefault="003018F8" w:rsidP="00283829">
      <w:pPr>
        <w:spacing w:before="120"/>
        <w:rPr>
          <w:rFonts w:ascii="Segoe UI" w:hAnsi="Segoe UI" w:cs="Segoe UI"/>
          <w:i/>
          <w:iCs/>
          <w:szCs w:val="22"/>
        </w:rPr>
      </w:pPr>
    </w:p>
    <w:p w14:paraId="7AA99F17" w14:textId="77777777" w:rsidR="003018F8" w:rsidRPr="003018F8" w:rsidRDefault="003018F8" w:rsidP="003018F8">
      <w:pPr>
        <w:spacing w:before="120"/>
        <w:rPr>
          <w:rFonts w:ascii="Segoe UI" w:hAnsi="Segoe UI" w:cs="Segoe UI"/>
          <w:b/>
          <w:bCs/>
          <w:szCs w:val="22"/>
        </w:rPr>
      </w:pPr>
      <w:bookmarkStart w:id="0" w:name="_Hlk166757241"/>
      <w:r w:rsidRPr="003018F8">
        <w:rPr>
          <w:rFonts w:ascii="Segoe UI" w:hAnsi="Segoe UI" w:cs="Segoe UI"/>
          <w:b/>
          <w:bCs/>
          <w:szCs w:val="22"/>
        </w:rPr>
        <w:t>Strategien:</w:t>
      </w:r>
    </w:p>
    <w:p w14:paraId="58492F56" w14:textId="54FA0F63" w:rsidR="003018F8" w:rsidRPr="003018F8" w:rsidRDefault="003018F8" w:rsidP="003018F8">
      <w:pPr>
        <w:pStyle w:val="Listenabsatz"/>
        <w:numPr>
          <w:ilvl w:val="0"/>
          <w:numId w:val="16"/>
        </w:numPr>
        <w:spacing w:before="120"/>
        <w:rPr>
          <w:rFonts w:ascii="Segoe UI" w:hAnsi="Segoe UI" w:cs="Segoe UI"/>
          <w:szCs w:val="22"/>
        </w:rPr>
      </w:pPr>
      <w:r w:rsidRPr="003018F8">
        <w:rPr>
          <w:rFonts w:ascii="Segoe UI" w:hAnsi="Segoe UI" w:cs="Segoe UI"/>
          <w:szCs w:val="22"/>
        </w:rPr>
        <w:t>Bewahrung des Baudenkmals steht vor einer Minimierung des Wärmebedarfs</w:t>
      </w:r>
    </w:p>
    <w:p w14:paraId="0AA9EB5C" w14:textId="5141C6C0" w:rsidR="003018F8" w:rsidRPr="003018F8" w:rsidRDefault="003018F8" w:rsidP="003018F8">
      <w:pPr>
        <w:pStyle w:val="Listenabsatz"/>
        <w:numPr>
          <w:ilvl w:val="0"/>
          <w:numId w:val="16"/>
        </w:numPr>
        <w:spacing w:before="120"/>
        <w:rPr>
          <w:rFonts w:ascii="Segoe UI" w:hAnsi="Segoe UI" w:cs="Segoe UI"/>
          <w:szCs w:val="22"/>
        </w:rPr>
      </w:pPr>
      <w:r w:rsidRPr="003018F8">
        <w:rPr>
          <w:rFonts w:ascii="Segoe UI" w:hAnsi="Segoe UI" w:cs="Segoe UI"/>
          <w:szCs w:val="22"/>
        </w:rPr>
        <w:t xml:space="preserve">Räumliche Qualität des Bestandsgebäudes nutzen – Tageslicht, </w:t>
      </w:r>
      <w:r w:rsidR="001D765A" w:rsidRPr="003018F8">
        <w:rPr>
          <w:rFonts w:ascii="Segoe UI" w:hAnsi="Segoe UI" w:cs="Segoe UI"/>
          <w:szCs w:val="22"/>
        </w:rPr>
        <w:t>Außen</w:t>
      </w:r>
      <w:r w:rsidR="001D765A">
        <w:rPr>
          <w:rFonts w:ascii="Segoe UI" w:hAnsi="Segoe UI" w:cs="Segoe UI"/>
          <w:szCs w:val="22"/>
        </w:rPr>
        <w:t>b</w:t>
      </w:r>
      <w:r w:rsidR="001D765A" w:rsidRPr="003018F8">
        <w:rPr>
          <w:rFonts w:ascii="Segoe UI" w:hAnsi="Segoe UI" w:cs="Segoe UI"/>
          <w:szCs w:val="22"/>
        </w:rPr>
        <w:t xml:space="preserve">ezug, </w:t>
      </w:r>
      <w:r w:rsidR="001D765A">
        <w:rPr>
          <w:rFonts w:ascii="Segoe UI" w:hAnsi="Segoe UI" w:cs="Segoe UI"/>
          <w:szCs w:val="22"/>
        </w:rPr>
        <w:t xml:space="preserve"> </w:t>
      </w:r>
      <w:r>
        <w:rPr>
          <w:rFonts w:ascii="Segoe UI" w:hAnsi="Segoe UI" w:cs="Segoe UI"/>
          <w:szCs w:val="22"/>
        </w:rPr>
        <w:t xml:space="preserve">                </w:t>
      </w:r>
      <w:r w:rsidRPr="003018F8">
        <w:rPr>
          <w:rFonts w:ascii="Segoe UI" w:hAnsi="Segoe UI" w:cs="Segoe UI"/>
          <w:szCs w:val="22"/>
        </w:rPr>
        <w:t>Temperaturschichtung</w:t>
      </w:r>
    </w:p>
    <w:p w14:paraId="33B6D83A" w14:textId="77777777" w:rsidR="003018F8" w:rsidRPr="003018F8" w:rsidRDefault="003018F8" w:rsidP="003018F8">
      <w:pPr>
        <w:pStyle w:val="Listenabsatz"/>
        <w:numPr>
          <w:ilvl w:val="0"/>
          <w:numId w:val="16"/>
        </w:numPr>
        <w:spacing w:before="120"/>
        <w:rPr>
          <w:rFonts w:ascii="Segoe UI" w:hAnsi="Segoe UI" w:cs="Segoe UI"/>
          <w:szCs w:val="22"/>
        </w:rPr>
      </w:pPr>
      <w:r w:rsidRPr="003018F8">
        <w:rPr>
          <w:rFonts w:ascii="Segoe UI" w:hAnsi="Segoe UI" w:cs="Segoe UI"/>
          <w:szCs w:val="22"/>
        </w:rPr>
        <w:t>Thermischer und visueller Nutzerkomfort muss sichergestellt werden</w:t>
      </w:r>
    </w:p>
    <w:p w14:paraId="0891FE91" w14:textId="16524DE0" w:rsidR="003018F8" w:rsidRPr="003018F8" w:rsidRDefault="003018F8" w:rsidP="003018F8">
      <w:pPr>
        <w:pStyle w:val="Listenabsatz"/>
        <w:numPr>
          <w:ilvl w:val="0"/>
          <w:numId w:val="16"/>
        </w:numPr>
        <w:spacing w:before="120"/>
        <w:rPr>
          <w:rFonts w:ascii="Segoe UI" w:hAnsi="Segoe UI" w:cs="Segoe UI"/>
          <w:szCs w:val="22"/>
        </w:rPr>
      </w:pPr>
      <w:r w:rsidRPr="003018F8">
        <w:rPr>
          <w:rFonts w:ascii="Segoe UI" w:hAnsi="Segoe UI" w:cs="Segoe UI"/>
          <w:szCs w:val="22"/>
        </w:rPr>
        <w:t>Bauschäden ausschließen, aber keine GEG-Bauteilanforderungen erfüllen</w:t>
      </w:r>
    </w:p>
    <w:p w14:paraId="63DFBDD1" w14:textId="77777777" w:rsidR="003018F8" w:rsidRPr="003018F8" w:rsidRDefault="003018F8" w:rsidP="003018F8">
      <w:pPr>
        <w:pStyle w:val="Listenabsatz"/>
        <w:numPr>
          <w:ilvl w:val="0"/>
          <w:numId w:val="16"/>
        </w:numPr>
        <w:spacing w:before="120"/>
        <w:rPr>
          <w:rFonts w:ascii="Segoe UI" w:hAnsi="Segoe UI" w:cs="Segoe UI"/>
          <w:szCs w:val="22"/>
        </w:rPr>
      </w:pPr>
      <w:r w:rsidRPr="003018F8">
        <w:rPr>
          <w:rFonts w:ascii="Segoe UI" w:hAnsi="Segoe UI" w:cs="Segoe UI"/>
          <w:szCs w:val="22"/>
        </w:rPr>
        <w:t>Ertüchtigung von historischen Bauteilen wie Fenster und Dächer</w:t>
      </w:r>
    </w:p>
    <w:p w14:paraId="1981DD29" w14:textId="77777777" w:rsidR="003018F8" w:rsidRPr="003018F8" w:rsidRDefault="003018F8" w:rsidP="003018F8">
      <w:pPr>
        <w:pStyle w:val="Listenabsatz"/>
        <w:numPr>
          <w:ilvl w:val="0"/>
          <w:numId w:val="16"/>
        </w:numPr>
        <w:spacing w:before="120"/>
        <w:rPr>
          <w:rFonts w:ascii="Segoe UI" w:hAnsi="Segoe UI" w:cs="Segoe UI"/>
          <w:szCs w:val="22"/>
        </w:rPr>
      </w:pPr>
      <w:r w:rsidRPr="003018F8">
        <w:rPr>
          <w:rFonts w:ascii="Segoe UI" w:hAnsi="Segoe UI" w:cs="Segoe UI"/>
          <w:szCs w:val="22"/>
        </w:rPr>
        <w:t>Erhöhter Restbedarf muss regenerativ gedeckt werden</w:t>
      </w:r>
      <w:bookmarkEnd w:id="0"/>
    </w:p>
    <w:p w14:paraId="3B0012C4" w14:textId="77777777" w:rsidR="003018F8" w:rsidRPr="00786A85" w:rsidRDefault="003018F8" w:rsidP="00283829">
      <w:pPr>
        <w:spacing w:before="120"/>
        <w:rPr>
          <w:rFonts w:ascii="Segoe UI" w:hAnsi="Segoe UI" w:cs="Segoe UI"/>
          <w:i/>
          <w:iCs/>
          <w:szCs w:val="22"/>
        </w:rPr>
      </w:pPr>
    </w:p>
    <w:p w14:paraId="3187C69D" w14:textId="578E9402" w:rsidR="00786A85" w:rsidRDefault="00786A85" w:rsidP="00283829">
      <w:pPr>
        <w:spacing w:before="120"/>
        <w:rPr>
          <w:rFonts w:ascii="Segoe UI" w:hAnsi="Segoe UI" w:cs="Segoe UI"/>
          <w:szCs w:val="22"/>
        </w:rPr>
      </w:pPr>
      <w:r>
        <w:rPr>
          <w:rFonts w:ascii="Segoe UI" w:hAnsi="Segoe UI" w:cs="Segoe UI"/>
          <w:szCs w:val="22"/>
        </w:rPr>
        <w:t xml:space="preserve">Alle Eingriffe in die Gebäudestruktur sind unter Denkmalschutz-Aspekten möglichst gering zu halten. Raumstrukturen und die Nutzungen sind in der bestehenden Hülle abzubilden. </w:t>
      </w:r>
    </w:p>
    <w:p w14:paraId="526E6485" w14:textId="37568A1C" w:rsidR="008B5023" w:rsidRDefault="00786A85" w:rsidP="00283829">
      <w:pPr>
        <w:spacing w:before="120"/>
        <w:rPr>
          <w:rFonts w:ascii="Segoe UI" w:hAnsi="Segoe UI" w:cs="Segoe UI"/>
          <w:szCs w:val="22"/>
        </w:rPr>
      </w:pPr>
      <w:r>
        <w:rPr>
          <w:rFonts w:ascii="Segoe UI" w:hAnsi="Segoe UI" w:cs="Segoe UI"/>
          <w:szCs w:val="22"/>
        </w:rPr>
        <w:t xml:space="preserve">Ziel des Wettbewerbsbeitrags ist, die bisher </w:t>
      </w:r>
      <w:r w:rsidR="00DD38F7">
        <w:rPr>
          <w:rFonts w:ascii="Segoe UI" w:hAnsi="Segoe UI" w:cs="Segoe UI"/>
          <w:szCs w:val="22"/>
        </w:rPr>
        <w:t xml:space="preserve">bereits </w:t>
      </w:r>
      <w:r>
        <w:rPr>
          <w:rFonts w:ascii="Segoe UI" w:hAnsi="Segoe UI" w:cs="Segoe UI"/>
          <w:szCs w:val="22"/>
        </w:rPr>
        <w:t xml:space="preserve">geplanten Sanierungsmaßnahmen durch geschickte Eingriffe zu reduzieren, um dafür durch z.B. eine Nutzbarmachung eines Innenhofes eine höhere Aufenthaltsqualität zu schaffen. Die geplante Überdachung des rechten Innenhofes führt neben den bauphysikalischen </w:t>
      </w:r>
      <w:r w:rsidR="00DD38F7">
        <w:rPr>
          <w:rFonts w:ascii="Segoe UI" w:hAnsi="Segoe UI" w:cs="Segoe UI"/>
          <w:szCs w:val="22"/>
        </w:rPr>
        <w:t>Effekten</w:t>
      </w:r>
      <w:r>
        <w:rPr>
          <w:rFonts w:ascii="Segoe UI" w:hAnsi="Segoe UI" w:cs="Segoe UI"/>
          <w:szCs w:val="22"/>
        </w:rPr>
        <w:t xml:space="preserve"> dazu, dass eine große Anzahl an Fenster nicht ausgetauscht oder ergänzt werden müssen. Die feingliedrig detaillierten Fenster können uneingeschränkt erhalten bleiben. </w:t>
      </w:r>
      <w:r w:rsidR="00DD38F7">
        <w:rPr>
          <w:rFonts w:ascii="Segoe UI" w:hAnsi="Segoe UI" w:cs="Segoe UI"/>
          <w:szCs w:val="22"/>
        </w:rPr>
        <w:t xml:space="preserve">Für die Fenster, die nicht in den überdachten Innenhof gehen, werden Kastenfenster-Konstruktionen entwickelt, die auf alle Arten von Denkmalgeschützen Fenstern reagieren können. Somit können die für die Außenwirkung notwendigen historischen Fenster vollständig erhalten bleiben. </w:t>
      </w:r>
      <w:r w:rsidR="00A04588">
        <w:rPr>
          <w:rFonts w:ascii="Segoe UI" w:hAnsi="Segoe UI" w:cs="Segoe UI"/>
          <w:szCs w:val="22"/>
        </w:rPr>
        <w:t>Die</w:t>
      </w:r>
      <w:r w:rsidR="00DD38F7">
        <w:rPr>
          <w:rFonts w:ascii="Segoe UI" w:hAnsi="Segoe UI" w:cs="Segoe UI"/>
          <w:szCs w:val="22"/>
        </w:rPr>
        <w:t xml:space="preserve"> Hülle </w:t>
      </w:r>
      <w:r w:rsidR="00A04588">
        <w:rPr>
          <w:rFonts w:ascii="Segoe UI" w:hAnsi="Segoe UI" w:cs="Segoe UI"/>
          <w:szCs w:val="22"/>
        </w:rPr>
        <w:t xml:space="preserve">bleibt </w:t>
      </w:r>
      <w:r w:rsidR="00DD38F7">
        <w:rPr>
          <w:rFonts w:ascii="Segoe UI" w:hAnsi="Segoe UI" w:cs="Segoe UI"/>
          <w:szCs w:val="22"/>
        </w:rPr>
        <w:t>erhalten, es erfolgen vorsichtige Ergänzungen (siehe Erläuterungen beim Unterpunkt Denkmalschutz), die Innenraumstrukturen bleiben entweder erhalten oder schaffen einen neuen modernen Kern für moderne Arbeitswelten. Abgerundet wird die Restrukturierung des Gebäudes durch eine nachhaltige technische Optimierung auf Basis einer maximalen Reduzierung der Technikbestandteile.</w:t>
      </w:r>
    </w:p>
    <w:p w14:paraId="5E3B9E4D" w14:textId="77777777" w:rsidR="00840794" w:rsidRPr="00173B58" w:rsidRDefault="00840794" w:rsidP="00283829">
      <w:pPr>
        <w:spacing w:before="120"/>
        <w:rPr>
          <w:rFonts w:ascii="Segoe UI" w:hAnsi="Segoe UI" w:cs="Segoe UI"/>
          <w:szCs w:val="22"/>
        </w:rPr>
      </w:pPr>
    </w:p>
    <w:p w14:paraId="1F7C0A45" w14:textId="6DD59DDD" w:rsidR="003674FF" w:rsidRDefault="002F67D3" w:rsidP="00283829">
      <w:pPr>
        <w:spacing w:before="120"/>
        <w:rPr>
          <w:rFonts w:ascii="Segoe UI" w:hAnsi="Segoe UI" w:cs="Segoe UI"/>
          <w:b/>
          <w:szCs w:val="22"/>
        </w:rPr>
      </w:pPr>
      <w:r>
        <w:rPr>
          <w:rFonts w:ascii="Segoe UI" w:hAnsi="Segoe UI" w:cs="Segoe UI"/>
          <w:b/>
          <w:szCs w:val="22"/>
        </w:rPr>
        <w:t>Optimierte Belegungsplanung</w:t>
      </w:r>
    </w:p>
    <w:p w14:paraId="0AB4E835" w14:textId="45BA6B41" w:rsidR="008B5023" w:rsidRDefault="00541E2A" w:rsidP="00283829">
      <w:pPr>
        <w:spacing w:before="120"/>
        <w:rPr>
          <w:rFonts w:ascii="Segoe UI" w:hAnsi="Segoe UI" w:cs="Segoe UI"/>
          <w:szCs w:val="22"/>
        </w:rPr>
      </w:pPr>
      <w:r>
        <w:rPr>
          <w:rFonts w:ascii="Segoe UI" w:hAnsi="Segoe UI" w:cs="Segoe UI"/>
          <w:szCs w:val="22"/>
        </w:rPr>
        <w:t>Auf Basis der vorliegenden Nutzungsgrundrisse und des Raumprogramms wurden alle Räume und Flächen im Gebäude neu sortiert, bzw. vor allem so zusammengeführt, dass zusammenhängende Einheiten mit kurzen und effizienten Wegeverbindungen entstehen.</w:t>
      </w:r>
    </w:p>
    <w:p w14:paraId="00E0BFEA" w14:textId="498F2D88" w:rsidR="00541E2A" w:rsidRDefault="00541E2A" w:rsidP="00283829">
      <w:pPr>
        <w:spacing w:before="120"/>
        <w:rPr>
          <w:rFonts w:ascii="Segoe UI" w:hAnsi="Segoe UI" w:cs="Segoe UI"/>
          <w:szCs w:val="22"/>
        </w:rPr>
      </w:pPr>
      <w:r>
        <w:rPr>
          <w:rFonts w:ascii="Segoe UI" w:hAnsi="Segoe UI" w:cs="Segoe UI"/>
          <w:szCs w:val="22"/>
        </w:rPr>
        <w:t>Diese Nutzungsflächenoptimierung führt einerseits zu einer höheren Effizienz in der Nutzung und führt andererseits auch zu einer deutlich einfacheren Orientierung im Gebäude.</w:t>
      </w:r>
    </w:p>
    <w:p w14:paraId="6DEFC229" w14:textId="166E704B" w:rsidR="00541E2A" w:rsidRDefault="00541E2A" w:rsidP="00283829">
      <w:pPr>
        <w:spacing w:before="120"/>
        <w:rPr>
          <w:rFonts w:ascii="Segoe UI" w:hAnsi="Segoe UI" w:cs="Segoe UI"/>
          <w:szCs w:val="22"/>
        </w:rPr>
      </w:pPr>
      <w:r>
        <w:rPr>
          <w:rFonts w:ascii="Segoe UI" w:hAnsi="Segoe UI" w:cs="Segoe UI"/>
          <w:szCs w:val="22"/>
        </w:rPr>
        <w:t xml:space="preserve">Ebenso können mit der Neuordnung auch einzelne Bereiche gezielt auch für z.B. Abendveranstaltungen geöffnet und zugänglich bleiben, während andere Bereiche gesichert und abgeschlossen bleiben können. Durch die baulichen Maßnahmen (Rückbau von nicht </w:t>
      </w:r>
      <w:r>
        <w:rPr>
          <w:rFonts w:ascii="Segoe UI" w:hAnsi="Segoe UI" w:cs="Segoe UI"/>
          <w:szCs w:val="22"/>
        </w:rPr>
        <w:lastRenderedPageBreak/>
        <w:t xml:space="preserve">denkmalrelevanten Innenwänden und Türen) entstehen offene, übersichtliche Raumstrukturen. Dunkle Büroflure hinter den großen Erschließungsfluren werden vollständig eliminiert. Es entstehen großzügige Arbeitsflächen, die flexibel genutzt werden können. Neben offenen Bürostrukturen sind weiter auch kleinteiligere Einheiten möglich, bzw. ergeben sich diese aus den historisch zu erhaltenden Wänden, Türen und Raumfolgen. Durch die offenen Bürostrukturen werden </w:t>
      </w:r>
      <w:r w:rsidR="00563AC4">
        <w:rPr>
          <w:rFonts w:ascii="Segoe UI" w:hAnsi="Segoe UI" w:cs="Segoe UI"/>
          <w:szCs w:val="22"/>
        </w:rPr>
        <w:t xml:space="preserve">alle </w:t>
      </w:r>
      <w:r>
        <w:rPr>
          <w:rFonts w:ascii="Segoe UI" w:hAnsi="Segoe UI" w:cs="Segoe UI"/>
          <w:szCs w:val="22"/>
        </w:rPr>
        <w:t xml:space="preserve">diese </w:t>
      </w:r>
      <w:r w:rsidR="00563AC4">
        <w:rPr>
          <w:rFonts w:ascii="Segoe UI" w:hAnsi="Segoe UI" w:cs="Segoe UI"/>
          <w:szCs w:val="22"/>
        </w:rPr>
        <w:t xml:space="preserve">Nutzugsbereiche </w:t>
      </w:r>
      <w:r>
        <w:rPr>
          <w:rFonts w:ascii="Segoe UI" w:hAnsi="Segoe UI" w:cs="Segoe UI"/>
          <w:szCs w:val="22"/>
        </w:rPr>
        <w:t>kommunikativer und v.a. auch effizienter (z.B. durch Desksharing) nutzbar</w:t>
      </w:r>
      <w:r w:rsidR="00A04588">
        <w:rPr>
          <w:rFonts w:ascii="Segoe UI" w:hAnsi="Segoe UI" w:cs="Segoe UI"/>
          <w:szCs w:val="22"/>
        </w:rPr>
        <w:t>, eine organisatorische Effizienz führt zu langfristig möglichen flexiblen Raumnutzungen.</w:t>
      </w:r>
    </w:p>
    <w:p w14:paraId="37BBAA8A" w14:textId="5CA32E25" w:rsidR="00541E2A" w:rsidRDefault="00541E2A" w:rsidP="00283829">
      <w:pPr>
        <w:spacing w:before="120"/>
        <w:rPr>
          <w:rFonts w:ascii="Segoe UI" w:hAnsi="Segoe UI" w:cs="Segoe UI"/>
          <w:szCs w:val="22"/>
        </w:rPr>
      </w:pPr>
      <w:r>
        <w:rPr>
          <w:rFonts w:ascii="Segoe UI" w:hAnsi="Segoe UI" w:cs="Segoe UI"/>
          <w:szCs w:val="22"/>
        </w:rPr>
        <w:t xml:space="preserve">In Bereichen, in denen neue Zwischenebenen eingezogen werden, soll durch die Öffnung nach oben (die Zwischengeschosse reichen nicht mehr bis an die Fassade / Fenster) </w:t>
      </w:r>
      <w:r w:rsidR="00786A85">
        <w:rPr>
          <w:rFonts w:ascii="Segoe UI" w:hAnsi="Segoe UI" w:cs="Segoe UI"/>
          <w:szCs w:val="22"/>
        </w:rPr>
        <w:t>die Kommunikation innerhalb verschiedener Bereiche auch über zwei Ebenen möglich gemacht werden.</w:t>
      </w:r>
    </w:p>
    <w:p w14:paraId="22F897E2" w14:textId="0DFD34E8" w:rsidR="008B5023" w:rsidRDefault="00786A85" w:rsidP="00283829">
      <w:pPr>
        <w:spacing w:before="120"/>
        <w:rPr>
          <w:rFonts w:ascii="Segoe UI" w:hAnsi="Segoe UI" w:cs="Segoe UI"/>
          <w:szCs w:val="22"/>
        </w:rPr>
      </w:pPr>
      <w:r>
        <w:rPr>
          <w:rFonts w:ascii="Segoe UI" w:hAnsi="Segoe UI" w:cs="Segoe UI"/>
          <w:szCs w:val="22"/>
        </w:rPr>
        <w:t>Durch die Neuordnung und Neubelegung sind Abteilungen zukünftig nicht mehr „zersplittert“ über mehrere Geschosse verteilt, sondern als Einheit zusammengeführt.</w:t>
      </w:r>
      <w:r w:rsidR="00A04588">
        <w:rPr>
          <w:rFonts w:ascii="Segoe UI" w:hAnsi="Segoe UI" w:cs="Segoe UI"/>
          <w:szCs w:val="22"/>
        </w:rPr>
        <w:t xml:space="preserve"> </w:t>
      </w:r>
    </w:p>
    <w:p w14:paraId="316C809D" w14:textId="72E627DD" w:rsidR="003060BC" w:rsidRDefault="003060BC" w:rsidP="00283829">
      <w:pPr>
        <w:spacing w:before="120"/>
        <w:rPr>
          <w:rFonts w:ascii="Segoe UI" w:hAnsi="Segoe UI" w:cs="Segoe UI"/>
          <w:szCs w:val="22"/>
        </w:rPr>
      </w:pPr>
      <w:r>
        <w:rPr>
          <w:rFonts w:ascii="Segoe UI" w:hAnsi="Segoe UI" w:cs="Segoe UI"/>
          <w:szCs w:val="22"/>
        </w:rPr>
        <w:t>Die Hörsäle werden neugestaltet und ausgestattet. Die abgetreppte Bestuhlungsart bleibt erhalten. Die Räume unter den ansteigenden Gestühlen werden für Lüftungstechnik genutzt.</w:t>
      </w:r>
    </w:p>
    <w:p w14:paraId="0D9D748B" w14:textId="3AFE24D4" w:rsidR="003060BC" w:rsidRDefault="003060BC" w:rsidP="00283829">
      <w:pPr>
        <w:spacing w:before="120"/>
        <w:rPr>
          <w:rFonts w:ascii="Segoe UI" w:hAnsi="Segoe UI" w:cs="Segoe UI"/>
          <w:szCs w:val="22"/>
        </w:rPr>
      </w:pPr>
      <w:r>
        <w:rPr>
          <w:rFonts w:ascii="Segoe UI" w:hAnsi="Segoe UI" w:cs="Segoe UI"/>
          <w:szCs w:val="22"/>
        </w:rPr>
        <w:t>Dadurch werden Leistungswege reduziert, die Anlagen beschränkt auf die max. notwendige Konditionierung der jeweiligen Räume.</w:t>
      </w:r>
    </w:p>
    <w:p w14:paraId="68A1C578" w14:textId="77777777" w:rsidR="003060BC" w:rsidRPr="00173B58" w:rsidRDefault="003060BC" w:rsidP="00283829">
      <w:pPr>
        <w:spacing w:before="120"/>
        <w:rPr>
          <w:rFonts w:ascii="Segoe UI" w:hAnsi="Segoe UI" w:cs="Segoe UI"/>
          <w:szCs w:val="22"/>
        </w:rPr>
      </w:pPr>
    </w:p>
    <w:p w14:paraId="1F7C0A4A" w14:textId="66BE6E3A" w:rsidR="003674FF" w:rsidRPr="00173B58" w:rsidRDefault="007D4F71" w:rsidP="00283829">
      <w:pPr>
        <w:spacing w:before="120"/>
        <w:rPr>
          <w:rFonts w:ascii="Segoe UI" w:hAnsi="Segoe UI" w:cs="Segoe UI"/>
          <w:b/>
          <w:color w:val="C00000"/>
          <w:sz w:val="28"/>
          <w:szCs w:val="22"/>
        </w:rPr>
      </w:pPr>
      <w:r>
        <w:rPr>
          <w:rFonts w:ascii="Segoe UI" w:hAnsi="Segoe UI" w:cs="Segoe UI"/>
          <w:b/>
          <w:color w:val="C00000"/>
          <w:sz w:val="28"/>
          <w:szCs w:val="22"/>
        </w:rPr>
        <w:t>E</w:t>
      </w:r>
      <w:r w:rsidR="00B56F7E" w:rsidRPr="00B56F7E">
        <w:rPr>
          <w:rFonts w:ascii="Segoe UI" w:hAnsi="Segoe UI" w:cs="Segoe UI"/>
          <w:b/>
          <w:color w:val="C00000"/>
          <w:sz w:val="28"/>
          <w:szCs w:val="22"/>
        </w:rPr>
        <w:t>nergetischen Sanierung</w:t>
      </w:r>
    </w:p>
    <w:p w14:paraId="1F7C0A4B" w14:textId="2B12A57A" w:rsidR="005561B8" w:rsidRPr="00173B58" w:rsidRDefault="007D4F71" w:rsidP="00283829">
      <w:pPr>
        <w:spacing w:before="120"/>
        <w:rPr>
          <w:rFonts w:ascii="Segoe UI" w:hAnsi="Segoe UI" w:cs="Segoe UI"/>
          <w:b/>
          <w:szCs w:val="22"/>
        </w:rPr>
      </w:pPr>
      <w:r>
        <w:rPr>
          <w:rFonts w:ascii="Segoe UI" w:hAnsi="Segoe UI" w:cs="Segoe UI"/>
          <w:b/>
          <w:szCs w:val="22"/>
        </w:rPr>
        <w:t>Konzept Bauphysik</w:t>
      </w:r>
    </w:p>
    <w:p w14:paraId="521FAB16" w14:textId="167F7795" w:rsidR="00840794" w:rsidRDefault="00840794" w:rsidP="00840794">
      <w:pPr>
        <w:spacing w:before="120"/>
        <w:rPr>
          <w:rFonts w:ascii="Segoe UI" w:hAnsi="Segoe UI" w:cs="Segoe UI"/>
          <w:szCs w:val="22"/>
        </w:rPr>
      </w:pPr>
      <w:r>
        <w:rPr>
          <w:rFonts w:ascii="Segoe UI" w:hAnsi="Segoe UI" w:cs="Segoe UI"/>
          <w:szCs w:val="22"/>
        </w:rPr>
        <w:t>Die Bestandfenster werden über innenseitig aufgesetzte öffenbare Glasebenen mit Isolierglas in hocheffiziente Kastenfensterlösungen überführt, die dann auch einen witterungsgeschützten Sonnenschutz mit Linklenkfunktion erlauben. Dieses Konzept wurde messtechnisch bei der Sanierung der Glasschule von Otto Häßler in Celle für die ertüchtigten Kastenfenster nachgewiesen. Die Außenwände erhalten innen eine 3 bis 5 cm dicke Dämmputzschicht, um Feuchteschäden an Kältebrücken auszuschließen. Die Dächer werden neu zwischen der Dachkonstruktion sehr gut gedämmt, um auch einen sommerlichen Wärmeschutz für diese Nutzungsebenen -unterstützt über einen außenliegenden Sonnenschutz – zu garantieren. Im Untergeschoß werden erdberührte Wände mit dem Konzept der Sockelheizung so temperiert, dass Feuchteaufstieg unterbunden wird.</w:t>
      </w:r>
    </w:p>
    <w:p w14:paraId="2A3DF5B0" w14:textId="77777777" w:rsidR="008B5023" w:rsidRPr="00173B58" w:rsidRDefault="008B5023" w:rsidP="00283829">
      <w:pPr>
        <w:spacing w:before="120"/>
        <w:rPr>
          <w:rFonts w:ascii="Segoe UI" w:hAnsi="Segoe UI" w:cs="Segoe UI"/>
          <w:szCs w:val="22"/>
        </w:rPr>
      </w:pPr>
    </w:p>
    <w:p w14:paraId="1F7C0A4D" w14:textId="0CC1D736" w:rsidR="005561B8" w:rsidRPr="00173B58" w:rsidRDefault="007D4F71" w:rsidP="00283829">
      <w:pPr>
        <w:spacing w:before="120"/>
        <w:rPr>
          <w:rFonts w:ascii="Segoe UI" w:hAnsi="Segoe UI" w:cs="Segoe UI"/>
          <w:b/>
          <w:szCs w:val="22"/>
        </w:rPr>
      </w:pPr>
      <w:r>
        <w:rPr>
          <w:rFonts w:ascii="Segoe UI" w:hAnsi="Segoe UI" w:cs="Segoe UI"/>
          <w:b/>
          <w:szCs w:val="22"/>
        </w:rPr>
        <w:t>Konzept technische Anlagen</w:t>
      </w:r>
    </w:p>
    <w:p w14:paraId="311427BE" w14:textId="7B8EB011" w:rsidR="00840794" w:rsidRDefault="00840794" w:rsidP="00840794">
      <w:pPr>
        <w:spacing w:before="120"/>
        <w:rPr>
          <w:rFonts w:ascii="Segoe UI" w:hAnsi="Segoe UI" w:cs="Segoe UI"/>
          <w:szCs w:val="22"/>
        </w:rPr>
      </w:pPr>
      <w:r>
        <w:rPr>
          <w:rFonts w:ascii="Segoe UI" w:hAnsi="Segoe UI" w:cs="Segoe UI"/>
          <w:szCs w:val="22"/>
        </w:rPr>
        <w:t xml:space="preserve">Angebunden an die ertüchtigten oder neu erstellen Kastenfenster wird eine dezentrale Lüftung mit Pulsgeräten vorgeschlagen, die ein Lüften mit lokaler Wärmerückgewinnung, ein weiteres Aufheizen oder Abkühlen der Zuluft erlauben. Die Außenluftansaugung und Fortluftabgabe erfolgt am Sockel des Kastenfensters, und wurde exemplarisch schon vor 20 Jahren </w:t>
      </w:r>
      <w:r w:rsidR="00E833E2">
        <w:rPr>
          <w:rFonts w:ascii="Segoe UI" w:hAnsi="Segoe UI" w:cs="Segoe UI"/>
          <w:szCs w:val="22"/>
        </w:rPr>
        <w:t>bei einem Museum</w:t>
      </w:r>
      <w:r>
        <w:rPr>
          <w:rFonts w:ascii="Segoe UI" w:hAnsi="Segoe UI" w:cs="Segoe UI"/>
          <w:szCs w:val="22"/>
        </w:rPr>
        <w:t xml:space="preserve"> in Berlin unter strengen Auflagen des Denkmalschutzes realisiert. Dieses Prinzip erfordert </w:t>
      </w:r>
      <w:r w:rsidRPr="00840794">
        <w:rPr>
          <w:rFonts w:ascii="Segoe UI" w:hAnsi="Segoe UI" w:cs="Segoe UI"/>
          <w:szCs w:val="22"/>
          <w:u w:val="single"/>
        </w:rPr>
        <w:t>keine</w:t>
      </w:r>
      <w:r>
        <w:rPr>
          <w:rFonts w:ascii="Segoe UI" w:hAnsi="Segoe UI" w:cs="Segoe UI"/>
          <w:szCs w:val="22"/>
        </w:rPr>
        <w:t xml:space="preserve"> Lüftungskanäle im Bestandsgebäude und wird rein hydraulisch angedient, optional mit einer </w:t>
      </w:r>
      <w:r w:rsidR="00E833E2">
        <w:rPr>
          <w:rFonts w:ascii="Segoe UI" w:hAnsi="Segoe UI" w:cs="Segoe UI"/>
          <w:szCs w:val="22"/>
        </w:rPr>
        <w:t>Kondensat-Sammlung</w:t>
      </w:r>
      <w:r>
        <w:rPr>
          <w:rFonts w:ascii="Segoe UI" w:hAnsi="Segoe UI" w:cs="Segoe UI"/>
          <w:szCs w:val="22"/>
        </w:rPr>
        <w:t xml:space="preserve"> für dichtbelegte Räume. In den Vorlesungssäle mit aufsteigendem Gestühl werden größere lokale Lüftungsanlagen mit sensibler und latenter Wärmerückgewinnung und Zusatzkühlung installiert, deren Außenluftanschluss am Fuße der Kastenfenster erfolgt.</w:t>
      </w:r>
    </w:p>
    <w:p w14:paraId="6D4572D8" w14:textId="06CC9834" w:rsidR="00840794" w:rsidRDefault="00840794" w:rsidP="00840794">
      <w:pPr>
        <w:spacing w:before="120"/>
        <w:rPr>
          <w:rFonts w:ascii="Segoe UI" w:hAnsi="Segoe UI" w:cs="Segoe UI"/>
          <w:szCs w:val="22"/>
        </w:rPr>
      </w:pPr>
      <w:r>
        <w:rPr>
          <w:rFonts w:ascii="Segoe UI" w:hAnsi="Segoe UI" w:cs="Segoe UI"/>
          <w:szCs w:val="22"/>
        </w:rPr>
        <w:lastRenderedPageBreak/>
        <w:t xml:space="preserve">Diese lokalen Lüftungslösungen benötigen </w:t>
      </w:r>
      <w:r w:rsidRPr="00840794">
        <w:rPr>
          <w:rFonts w:ascii="Segoe UI" w:hAnsi="Segoe UI" w:cs="Segoe UI"/>
          <w:szCs w:val="22"/>
          <w:u w:val="single"/>
        </w:rPr>
        <w:t>keine</w:t>
      </w:r>
      <w:r>
        <w:rPr>
          <w:rFonts w:ascii="Segoe UI" w:hAnsi="Segoe UI" w:cs="Segoe UI"/>
          <w:szCs w:val="22"/>
        </w:rPr>
        <w:t xml:space="preserve"> zentralen Lüftungsflächen oder verzweigt vertikale und horizontale Luftführungssysteme, sind seit 20 Jahren im Einsatz und bei der Wahl von Deutschen EC Motoren auch sehr zuverlässig.</w:t>
      </w:r>
    </w:p>
    <w:p w14:paraId="1C53CBF8" w14:textId="2B83F60F" w:rsidR="00840794" w:rsidRDefault="00840794" w:rsidP="00840794">
      <w:pPr>
        <w:spacing w:before="120"/>
        <w:rPr>
          <w:rFonts w:ascii="Segoe UI" w:hAnsi="Segoe UI" w:cs="Segoe UI"/>
          <w:szCs w:val="22"/>
        </w:rPr>
      </w:pPr>
      <w:r>
        <w:rPr>
          <w:rFonts w:ascii="Segoe UI" w:hAnsi="Segoe UI" w:cs="Segoe UI"/>
          <w:szCs w:val="22"/>
        </w:rPr>
        <w:t>Alle Dächer werden als PVT-System ausgebildet, ein Photovoltaiksystem mit rückseitigem hydraulischem Wärmetauscher, erlaubt, neben erneuerbarem Strom, auch solargestützte Wärme und nachts freie Strahlungskälte einzusammeln.</w:t>
      </w:r>
    </w:p>
    <w:p w14:paraId="55C4BA8A" w14:textId="75EEDEEC" w:rsidR="00840794" w:rsidRDefault="00840794" w:rsidP="00840794">
      <w:pPr>
        <w:spacing w:before="120"/>
        <w:rPr>
          <w:rFonts w:ascii="Segoe UI" w:hAnsi="Segoe UI" w:cs="Segoe UI"/>
          <w:szCs w:val="22"/>
        </w:rPr>
      </w:pPr>
      <w:r>
        <w:rPr>
          <w:rFonts w:ascii="Segoe UI" w:hAnsi="Segoe UI" w:cs="Segoe UI"/>
          <w:szCs w:val="22"/>
        </w:rPr>
        <w:t xml:space="preserve">Die Wärme- und Kälteversorgung beruht auf reversiblen Wärmepumpen, die auf einen 300 m³ großen Eisspeicher und eine begrenzte Anzahl von ca. 18 Erdsonden unter dem neu überdachten Innenhof ca. 150 m tief ins Erdreich reichen. Die Regeneration des Eisspeichers erfolgt über die fast 2200 m² PVT-Flächen im Dach. Der Strom zum Betrieb dieser Wärmepumpen, der Lüftungsgeräte, der Umwälzpumpen, der Gebäudebeleuchtung und der Gebäudeautomation wird über die Dachflächen in der Jahresbilanz zu </w:t>
      </w:r>
      <w:r w:rsidRPr="00840794">
        <w:rPr>
          <w:rFonts w:ascii="Segoe UI" w:hAnsi="Segoe UI" w:cs="Segoe UI"/>
          <w:szCs w:val="22"/>
          <w:u w:val="single"/>
        </w:rPr>
        <w:t>100%</w:t>
      </w:r>
      <w:r>
        <w:rPr>
          <w:rFonts w:ascii="Segoe UI" w:hAnsi="Segoe UI" w:cs="Segoe UI"/>
          <w:szCs w:val="22"/>
        </w:rPr>
        <w:t xml:space="preserve"> selbst erzeugt, im Sommer eingespeist und im Winter wieder bezogen. </w:t>
      </w:r>
    </w:p>
    <w:p w14:paraId="77352AFA" w14:textId="77777777" w:rsidR="00840794" w:rsidRDefault="00840794" w:rsidP="00840794">
      <w:pPr>
        <w:spacing w:before="120"/>
        <w:rPr>
          <w:rFonts w:ascii="Segoe UI" w:hAnsi="Segoe UI" w:cs="Segoe UI"/>
          <w:szCs w:val="22"/>
        </w:rPr>
      </w:pPr>
      <w:r>
        <w:rPr>
          <w:rFonts w:ascii="Segoe UI" w:hAnsi="Segoe UI" w:cs="Segoe UI"/>
          <w:szCs w:val="22"/>
        </w:rPr>
        <w:t>Dem Jahrespotential des lokalen Solarstromes von ca. 530.000 kWh steht ein Bedarf der 10.000 m² Nutzfläche von ca. 500.000 kWh gegenüber.</w:t>
      </w:r>
    </w:p>
    <w:p w14:paraId="64414839" w14:textId="77777777" w:rsidR="00840794" w:rsidRDefault="00840794" w:rsidP="00840794">
      <w:pPr>
        <w:spacing w:before="120"/>
        <w:rPr>
          <w:rFonts w:ascii="Segoe UI" w:hAnsi="Segoe UI" w:cs="Segoe UI"/>
          <w:szCs w:val="22"/>
        </w:rPr>
      </w:pPr>
      <w:r>
        <w:rPr>
          <w:rFonts w:ascii="Segoe UI" w:hAnsi="Segoe UI" w:cs="Segoe UI"/>
          <w:szCs w:val="22"/>
        </w:rPr>
        <w:t>Dimensionierung Wärme- und Kältezeugung:</w:t>
      </w:r>
    </w:p>
    <w:p w14:paraId="377CAB1E" w14:textId="62859C0D" w:rsidR="00840794" w:rsidRDefault="00840794" w:rsidP="00840794">
      <w:pPr>
        <w:spacing w:before="120"/>
        <w:rPr>
          <w:rFonts w:ascii="Segoe UI" w:hAnsi="Segoe UI" w:cs="Segoe UI"/>
          <w:szCs w:val="22"/>
        </w:rPr>
      </w:pPr>
      <w:r>
        <w:rPr>
          <w:rFonts w:ascii="Segoe UI" w:hAnsi="Segoe UI" w:cs="Segoe UI"/>
          <w:szCs w:val="22"/>
        </w:rPr>
        <w:t>Reversible Wärmepumpen maximale Kapazität: 500 kW Wärme, ca. 300 kW Kälte</w:t>
      </w:r>
      <w:r w:rsidR="003018F8">
        <w:rPr>
          <w:rFonts w:ascii="Segoe UI" w:hAnsi="Segoe UI" w:cs="Segoe UI"/>
          <w:szCs w:val="22"/>
        </w:rPr>
        <w:t>.</w:t>
      </w:r>
    </w:p>
    <w:p w14:paraId="07C67C7E" w14:textId="64A2A79E" w:rsidR="003018F8" w:rsidRDefault="003018F8" w:rsidP="00840794">
      <w:pPr>
        <w:spacing w:before="120"/>
        <w:rPr>
          <w:rFonts w:ascii="Segoe UI" w:hAnsi="Segoe UI" w:cs="Segoe UI"/>
          <w:szCs w:val="22"/>
        </w:rPr>
      </w:pPr>
      <w:r>
        <w:rPr>
          <w:noProof/>
        </w:rPr>
        <w:drawing>
          <wp:inline distT="0" distB="0" distL="0" distR="0" wp14:anchorId="4F053AEE" wp14:editId="0C552A98">
            <wp:extent cx="5939790" cy="2961005"/>
            <wp:effectExtent l="0" t="0" r="3810" b="0"/>
            <wp:docPr id="157254306" name="Grafik 1" descr="Ein Bild, das Text, Diagramm,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54306" name="Grafik 1" descr="Ein Bild, das Text, Diagramm, Screenshot, Design enthält.&#10;&#10;Automatisch generierte Beschreibung"/>
                    <pic:cNvPicPr/>
                  </pic:nvPicPr>
                  <pic:blipFill>
                    <a:blip r:embed="rId12"/>
                    <a:stretch>
                      <a:fillRect/>
                    </a:stretch>
                  </pic:blipFill>
                  <pic:spPr>
                    <a:xfrm>
                      <a:off x="0" y="0"/>
                      <a:ext cx="5939790" cy="2961005"/>
                    </a:xfrm>
                    <a:prstGeom prst="rect">
                      <a:avLst/>
                    </a:prstGeom>
                  </pic:spPr>
                </pic:pic>
              </a:graphicData>
            </a:graphic>
          </wp:inline>
        </w:drawing>
      </w:r>
    </w:p>
    <w:p w14:paraId="2DC784D7" w14:textId="77777777" w:rsidR="00DF5F63" w:rsidRDefault="00DF5F63" w:rsidP="00DF5F63">
      <w:pPr>
        <w:spacing w:before="120"/>
        <w:rPr>
          <w:rFonts w:ascii="Segoe UI" w:hAnsi="Segoe UI" w:cs="Segoe UI"/>
          <w:b/>
          <w:szCs w:val="22"/>
        </w:rPr>
      </w:pPr>
    </w:p>
    <w:p w14:paraId="586D5471" w14:textId="76DA3F9E" w:rsidR="00DF5F63" w:rsidRDefault="00DF5F63" w:rsidP="00DF5F63">
      <w:pPr>
        <w:spacing w:before="120"/>
        <w:rPr>
          <w:rFonts w:ascii="Segoe UI" w:hAnsi="Segoe UI" w:cs="Segoe UI"/>
          <w:b/>
          <w:szCs w:val="22"/>
        </w:rPr>
      </w:pPr>
      <w:r>
        <w:rPr>
          <w:rFonts w:ascii="Segoe UI" w:hAnsi="Segoe UI" w:cs="Segoe UI"/>
          <w:b/>
          <w:szCs w:val="22"/>
        </w:rPr>
        <w:t>Monitoring Konzept</w:t>
      </w:r>
    </w:p>
    <w:p w14:paraId="33C79EC4" w14:textId="11A68908" w:rsidR="00DF5F63" w:rsidRDefault="00DF5F63" w:rsidP="00DF5F63">
      <w:pPr>
        <w:spacing w:before="120"/>
        <w:rPr>
          <w:rFonts w:ascii="Segoe UI" w:hAnsi="Segoe UI" w:cs="Segoe UI"/>
          <w:bCs/>
          <w:szCs w:val="22"/>
        </w:rPr>
      </w:pPr>
      <w:r>
        <w:rPr>
          <w:rFonts w:ascii="Segoe UI" w:hAnsi="Segoe UI" w:cs="Segoe UI"/>
          <w:bCs/>
          <w:szCs w:val="22"/>
        </w:rPr>
        <w:t>Zur Sicherstellung der Funktionen und der energetischen und komforttechnischen Ziele ist ein Monitoring als Erweiterung der Gebäudeleittechnik geplant. Dabei werden neben aktuellen Temperaturen, Feuchten und CO2 Leveln in den verschiedenen Nutzungszonen, die Statussignale der Lüftungs- und Konditionierungskomponenten erfasst. Damit lassen sich Abweichungen und Fehlfunktionen früh erkennen und entsprechende Maßnahmen einleiten.</w:t>
      </w:r>
      <w:r w:rsidR="001D765A">
        <w:rPr>
          <w:rFonts w:ascii="Segoe UI" w:hAnsi="Segoe UI" w:cs="Segoe UI"/>
          <w:bCs/>
          <w:szCs w:val="22"/>
        </w:rPr>
        <w:t xml:space="preserve"> </w:t>
      </w:r>
      <w:r>
        <w:rPr>
          <w:rFonts w:ascii="Segoe UI" w:hAnsi="Segoe UI" w:cs="Segoe UI"/>
          <w:bCs/>
          <w:szCs w:val="22"/>
        </w:rPr>
        <w:t xml:space="preserve">Das Monitoring der zentralen Wärme- und Kälteversorgung im Zusammenspiel mit den PVT-Dachflächen, Eisspeicher und </w:t>
      </w:r>
      <w:proofErr w:type="spellStart"/>
      <w:r>
        <w:rPr>
          <w:rFonts w:ascii="Segoe UI" w:hAnsi="Segoe UI" w:cs="Segoe UI"/>
          <w:bCs/>
          <w:szCs w:val="22"/>
        </w:rPr>
        <w:t>Sondenfeld</w:t>
      </w:r>
      <w:proofErr w:type="spellEnd"/>
      <w:r>
        <w:rPr>
          <w:rFonts w:ascii="Segoe UI" w:hAnsi="Segoe UI" w:cs="Segoe UI"/>
          <w:bCs/>
          <w:szCs w:val="22"/>
        </w:rPr>
        <w:t xml:space="preserve"> wird neben Temperaturen und Massenströmen über aktuelle </w:t>
      </w:r>
      <w:r>
        <w:rPr>
          <w:rFonts w:ascii="Segoe UI" w:hAnsi="Segoe UI" w:cs="Segoe UI"/>
          <w:bCs/>
          <w:szCs w:val="22"/>
        </w:rPr>
        <w:lastRenderedPageBreak/>
        <w:t>Energieflüsse und Bilanzen über Tages- oder Wochenzeiträume erfassen und so eine Optimierung des Gesamtsystems im Betrieb erlauben.</w:t>
      </w:r>
    </w:p>
    <w:p w14:paraId="79BB1BD6" w14:textId="77777777" w:rsidR="008B5023" w:rsidRDefault="008B5023" w:rsidP="00283829">
      <w:pPr>
        <w:spacing w:before="120"/>
        <w:rPr>
          <w:rFonts w:ascii="Segoe UI" w:hAnsi="Segoe UI" w:cs="Segoe UI"/>
          <w:szCs w:val="22"/>
        </w:rPr>
      </w:pPr>
    </w:p>
    <w:p w14:paraId="3F1000AA" w14:textId="1C9AEA2C" w:rsidR="00853EB4" w:rsidRPr="00173B58" w:rsidRDefault="00853EB4" w:rsidP="00853EB4">
      <w:pPr>
        <w:spacing w:before="120"/>
        <w:rPr>
          <w:rFonts w:ascii="Segoe UI" w:hAnsi="Segoe UI" w:cs="Segoe UI"/>
          <w:b/>
          <w:szCs w:val="22"/>
        </w:rPr>
      </w:pPr>
      <w:r>
        <w:rPr>
          <w:rFonts w:ascii="Segoe UI" w:hAnsi="Segoe UI" w:cs="Segoe UI"/>
          <w:b/>
          <w:szCs w:val="22"/>
        </w:rPr>
        <w:t>Nachhaltigkeit des Gebäudes</w:t>
      </w:r>
    </w:p>
    <w:p w14:paraId="0C143337" w14:textId="4DEB96D0" w:rsidR="00840794" w:rsidRDefault="00840794" w:rsidP="00840794">
      <w:pPr>
        <w:spacing w:before="120"/>
        <w:rPr>
          <w:rFonts w:ascii="Segoe UI" w:hAnsi="Segoe UI" w:cs="Segoe UI"/>
          <w:szCs w:val="22"/>
        </w:rPr>
      </w:pPr>
      <w:r>
        <w:rPr>
          <w:rFonts w:ascii="Segoe UI" w:hAnsi="Segoe UI" w:cs="Segoe UI"/>
          <w:szCs w:val="22"/>
        </w:rPr>
        <w:t>Ziel des vorliegenden Konzeptes ist es das Gebäude für die nächsten 100 Jahre zu ertüchtigen, und gleichzeitig die Werte der Baukultur zu erhalten. Ein erhöhter Energiebedarf beim Heizen bedingt durch begrenzte Dämmmaßnahmen wird akzeptiert und muss über eine regenerative Wärmeerzeugung abgedeckt werden. Dabei muss auch bei der Wahl der eingesetzten Dämmstoffe der CO2-Fußabdruck dieser Baustoffe berücksichtigt werden und ein späterer Rückbau oder Ertüchtigung, eine Trennung der Baustoffe erlauben. Dies gilt auch für die ertüchtigten Kastenfenster, die auf Holzrahmen mit eingesetzter dünner Isolierverglasung mit Kryptonfüllung beruhen.</w:t>
      </w:r>
    </w:p>
    <w:p w14:paraId="7DFD8A5C" w14:textId="13739435" w:rsidR="00840794" w:rsidRDefault="00840794" w:rsidP="00840794">
      <w:pPr>
        <w:spacing w:before="120"/>
        <w:rPr>
          <w:rFonts w:ascii="Segoe UI" w:hAnsi="Segoe UI" w:cs="Segoe UI"/>
          <w:szCs w:val="22"/>
        </w:rPr>
      </w:pPr>
      <w:r>
        <w:rPr>
          <w:rFonts w:ascii="Segoe UI" w:hAnsi="Segoe UI" w:cs="Segoe UI"/>
          <w:szCs w:val="22"/>
        </w:rPr>
        <w:t xml:space="preserve">Die Wärmeerzeugung erfolgt in einem Normaljahr ohne extreme Winterkälte ausschließlich </w:t>
      </w:r>
      <w:r w:rsidR="003018F8">
        <w:rPr>
          <w:rFonts w:ascii="Segoe UI" w:hAnsi="Segoe UI" w:cs="Segoe UI"/>
          <w:szCs w:val="22"/>
        </w:rPr>
        <w:t xml:space="preserve">    </w:t>
      </w:r>
      <w:r>
        <w:rPr>
          <w:rFonts w:ascii="Segoe UI" w:hAnsi="Segoe UI" w:cs="Segoe UI"/>
          <w:szCs w:val="22"/>
        </w:rPr>
        <w:t xml:space="preserve">lokal über die Kombination Eisspeicher-PVT und Wärmepumpe, basierend auf im Sommer eingespeisten Überschussstrom – siehe technische Anlagen. </w:t>
      </w:r>
    </w:p>
    <w:p w14:paraId="02B1F345" w14:textId="3405D1CD" w:rsidR="00840794" w:rsidRDefault="00840794" w:rsidP="00840794">
      <w:pPr>
        <w:spacing w:before="120"/>
        <w:rPr>
          <w:rFonts w:ascii="Segoe UI" w:hAnsi="Segoe UI" w:cs="Segoe UI"/>
          <w:szCs w:val="22"/>
        </w:rPr>
      </w:pPr>
      <w:r>
        <w:rPr>
          <w:rFonts w:ascii="Segoe UI" w:hAnsi="Segoe UI" w:cs="Segoe UI"/>
          <w:szCs w:val="22"/>
        </w:rPr>
        <w:t>Das vorgeschlagene Wasserkonzept sammelt sämtliche Niederschläge von Dächer</w:t>
      </w:r>
      <w:r w:rsidR="00E833E2">
        <w:rPr>
          <w:rFonts w:ascii="Segoe UI" w:hAnsi="Segoe UI" w:cs="Segoe UI"/>
          <w:szCs w:val="22"/>
        </w:rPr>
        <w:t>n</w:t>
      </w:r>
      <w:r>
        <w:rPr>
          <w:rFonts w:ascii="Segoe UI" w:hAnsi="Segoe UI" w:cs="Segoe UI"/>
          <w:szCs w:val="22"/>
        </w:rPr>
        <w:t xml:space="preserve"> und versiegelten Fläche ein und puffert es in einer großen Zisterne im Untergeschoß für niederschlagsarme Perioden zur Bewässerung von Gründächern und Bäumen am Grundstück.</w:t>
      </w:r>
    </w:p>
    <w:p w14:paraId="294C9D0C" w14:textId="77777777" w:rsidR="00853EB4" w:rsidRDefault="00853EB4" w:rsidP="00283829">
      <w:pPr>
        <w:spacing w:before="120"/>
        <w:rPr>
          <w:rFonts w:ascii="Segoe UI" w:hAnsi="Segoe UI" w:cs="Segoe UI"/>
          <w:szCs w:val="22"/>
        </w:rPr>
      </w:pPr>
    </w:p>
    <w:p w14:paraId="1A94413A" w14:textId="5AB9CEC1" w:rsidR="00853EB4" w:rsidRPr="00173B58" w:rsidRDefault="00853EB4" w:rsidP="00853EB4">
      <w:pPr>
        <w:spacing w:before="120"/>
        <w:rPr>
          <w:rFonts w:ascii="Segoe UI" w:hAnsi="Segoe UI" w:cs="Segoe UI"/>
          <w:b/>
          <w:szCs w:val="22"/>
        </w:rPr>
      </w:pPr>
      <w:r>
        <w:rPr>
          <w:rFonts w:ascii="Segoe UI" w:hAnsi="Segoe UI" w:cs="Segoe UI"/>
          <w:b/>
          <w:szCs w:val="22"/>
        </w:rPr>
        <w:t>Wirtschaftlichkeit im Betrieb</w:t>
      </w:r>
    </w:p>
    <w:p w14:paraId="36F59179" w14:textId="0769B2C4" w:rsidR="003018F8" w:rsidRDefault="003018F8" w:rsidP="003018F8">
      <w:pPr>
        <w:spacing w:before="120"/>
        <w:rPr>
          <w:rFonts w:ascii="Segoe UI" w:hAnsi="Segoe UI" w:cs="Segoe UI"/>
          <w:szCs w:val="22"/>
        </w:rPr>
      </w:pPr>
      <w:r>
        <w:rPr>
          <w:rFonts w:ascii="Segoe UI" w:hAnsi="Segoe UI" w:cs="Segoe UI"/>
          <w:szCs w:val="22"/>
        </w:rPr>
        <w:t>Die vorgeschlagene Konzeption mit eigener Wärme- und Kälteerzeugung mittels geothermischer und solarthermischer Wärmepumpe mit Eisspeicher- und Zisternen-Puffer sowie freier Rückkühlung über die PVT-Paneele lässt übers Jahr bilanziert einen energieneutralen Gebäudebetrieb – ohne Nutzerstrom/Ausstattungsstrombedarf - des sanierten Hauptgebäudes zu, unsere Interpretation der „Klimaikone“.</w:t>
      </w:r>
    </w:p>
    <w:p w14:paraId="05DA96BE" w14:textId="055218C9" w:rsidR="003018F8" w:rsidRDefault="003018F8" w:rsidP="003018F8">
      <w:pPr>
        <w:spacing w:before="120"/>
        <w:rPr>
          <w:rFonts w:ascii="Segoe UI" w:hAnsi="Segoe UI" w:cs="Segoe UI"/>
          <w:szCs w:val="22"/>
        </w:rPr>
      </w:pPr>
      <w:r>
        <w:rPr>
          <w:rFonts w:ascii="Segoe UI" w:hAnsi="Segoe UI" w:cs="Segoe UI"/>
          <w:szCs w:val="22"/>
        </w:rPr>
        <w:t>Dabei unterbietet das Konzept die Primärenergieanforderung des Effizienzhaus 55 bei Weitem, erfüllt allerdings nicht die Einzelbauteilanforderungen. Das ist aber auch einem Baudenkmal nicht zuzumuten, dort muss der erhöhte Energiebedarf insbesondere im Bereich Heizung durch die dem Denkmal angepassten begrenzten Ertüchtigungen insbesondere der Wandflächen über eine regenerative Energieerzeugung abgedeckt werden.</w:t>
      </w:r>
    </w:p>
    <w:p w14:paraId="2DD5AAF3" w14:textId="0BCC79C5" w:rsidR="003018F8" w:rsidRDefault="003018F8" w:rsidP="003018F8">
      <w:pPr>
        <w:spacing w:before="120"/>
        <w:rPr>
          <w:rFonts w:ascii="Segoe UI" w:hAnsi="Segoe UI" w:cs="Segoe UI"/>
          <w:szCs w:val="22"/>
        </w:rPr>
      </w:pPr>
      <w:r>
        <w:rPr>
          <w:rFonts w:ascii="Segoe UI" w:hAnsi="Segoe UI" w:cs="Segoe UI"/>
          <w:szCs w:val="22"/>
        </w:rPr>
        <w:t>Die aufgelisteten Investitionskosten für die energetische Sanierung bewegen sich im Rahmen von 11 bis 12 Mio. € auf 50 Jahre Betrieb unter Berücksichtigung von Austausch von Komponenten mit kürzerer Lebenserwartung wie Wärmepumpen und Lüftungsgeräten.</w:t>
      </w:r>
    </w:p>
    <w:p w14:paraId="790C0165" w14:textId="4921CF42" w:rsidR="003018F8" w:rsidRDefault="003018F8" w:rsidP="003018F8">
      <w:pPr>
        <w:spacing w:before="120"/>
        <w:rPr>
          <w:rFonts w:ascii="Segoe UI" w:hAnsi="Segoe UI" w:cs="Segoe UI"/>
          <w:szCs w:val="22"/>
        </w:rPr>
      </w:pPr>
      <w:r>
        <w:rPr>
          <w:rFonts w:ascii="Segoe UI" w:hAnsi="Segoe UI" w:cs="Segoe UI"/>
          <w:szCs w:val="22"/>
        </w:rPr>
        <w:t xml:space="preserve">Im Vergleich zum Bestandsgebäude mit ca. 388.000 €/a energetischen Betriebskosten für Fernwärme und Strom (basierend auf Kennwerten und Kosten aus Energiebericht RWTH Aachen 2020/2021) kann die „Klimaikone“ mit reduzierten energetischen Betriebskosten – unter Berücksichtigung der Preisdifferenz von Einspeisevergütung und Bezugskosten für ca. 50% des Strombedarfs - von 61.000 €/a rechnen. Dabei sind die Einsparungen bzw. Kosten der heutigen CO2- Emissionen </w:t>
      </w:r>
      <w:r w:rsidR="001D765A">
        <w:rPr>
          <w:rFonts w:ascii="Segoe UI" w:hAnsi="Segoe UI" w:cs="Segoe UI"/>
          <w:szCs w:val="22"/>
        </w:rPr>
        <w:t>des energetischen Betriebs</w:t>
      </w:r>
      <w:r>
        <w:rPr>
          <w:rFonts w:ascii="Segoe UI" w:hAnsi="Segoe UI" w:cs="Segoe UI"/>
          <w:szCs w:val="22"/>
        </w:rPr>
        <w:t xml:space="preserve"> von 70 kg/m²a basierend auf dem gesellschaftlichen CO2- Preis des UBA von 250 €/ton CO2 auf die Energiebezugsfläche von insgesamt 238.000 €/a nicht eingerechnet.</w:t>
      </w:r>
    </w:p>
    <w:p w14:paraId="5C9E66B7" w14:textId="411E8E2E" w:rsidR="003018F8" w:rsidRDefault="003018F8" w:rsidP="003018F8">
      <w:pPr>
        <w:spacing w:before="120"/>
        <w:rPr>
          <w:rFonts w:ascii="Segoe UI" w:hAnsi="Segoe UI" w:cs="Segoe UI"/>
          <w:szCs w:val="22"/>
        </w:rPr>
      </w:pPr>
      <w:r>
        <w:rPr>
          <w:rFonts w:ascii="Segoe UI" w:hAnsi="Segoe UI" w:cs="Segoe UI"/>
          <w:szCs w:val="22"/>
        </w:rPr>
        <w:lastRenderedPageBreak/>
        <w:t>Hochgerechnet auf 50 Jahre Betrieb – mit heutigen Energiekosten und ohne eine Verzinsung der Investitionskosten – erlauben die energetischen Betriebskosteneinsparungen (auch ohne CO2-Bepreisung) Investitionen von 16.3 Mio. €.</w:t>
      </w:r>
    </w:p>
    <w:p w14:paraId="43D77164" w14:textId="331E8E69" w:rsidR="003018F8" w:rsidRDefault="003018F8" w:rsidP="003018F8">
      <w:pPr>
        <w:spacing w:before="120"/>
        <w:rPr>
          <w:rFonts w:ascii="Segoe UI" w:hAnsi="Segoe UI" w:cs="Segoe UI"/>
          <w:szCs w:val="22"/>
        </w:rPr>
      </w:pPr>
      <w:r>
        <w:rPr>
          <w:rFonts w:ascii="Segoe UI" w:hAnsi="Segoe UI" w:cs="Segoe UI"/>
          <w:szCs w:val="22"/>
        </w:rPr>
        <w:t>Instandhaltungskosten der vorgeschlagenen technischen Systeme bewerten wir mit 90.000 €/a und sie reduzieren die jährlichen Einsparungen und die möglichen Investitionen auf 11.8 Mio. €.</w:t>
      </w:r>
    </w:p>
    <w:p w14:paraId="3B25ED48" w14:textId="77777777" w:rsidR="003018F8" w:rsidRDefault="003018F8" w:rsidP="003018F8">
      <w:pPr>
        <w:spacing w:before="120"/>
        <w:rPr>
          <w:rFonts w:ascii="Segoe UI" w:hAnsi="Segoe UI" w:cs="Segoe UI"/>
          <w:szCs w:val="22"/>
        </w:rPr>
      </w:pPr>
      <w:r>
        <w:rPr>
          <w:rFonts w:ascii="Segoe UI" w:hAnsi="Segoe UI" w:cs="Segoe UI"/>
          <w:szCs w:val="22"/>
        </w:rPr>
        <w:t>Eine energie- und komforttechnische Begleitung der „Klimaikone“ im Betrieb sollte mit 50.000 €/a machbar sein, wird sich aber über Einsparungen und Schadensvermeidung in jedem Fall rechnen.</w:t>
      </w:r>
    </w:p>
    <w:p w14:paraId="390CC8D6" w14:textId="77777777" w:rsidR="003018F8" w:rsidRDefault="003018F8" w:rsidP="003018F8">
      <w:pPr>
        <w:spacing w:before="120"/>
        <w:rPr>
          <w:rFonts w:ascii="Segoe UI" w:hAnsi="Segoe UI" w:cs="Segoe UI"/>
          <w:szCs w:val="22"/>
        </w:rPr>
      </w:pPr>
      <w:r w:rsidRPr="004F5699">
        <w:rPr>
          <w:noProof/>
        </w:rPr>
        <w:drawing>
          <wp:inline distT="0" distB="0" distL="0" distR="0" wp14:anchorId="726A202E" wp14:editId="6C617C4B">
            <wp:extent cx="5939790" cy="1094740"/>
            <wp:effectExtent l="0" t="0" r="3810" b="0"/>
            <wp:docPr id="21191136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39790" cy="1094740"/>
                    </a:xfrm>
                    <a:prstGeom prst="rect">
                      <a:avLst/>
                    </a:prstGeom>
                    <a:noFill/>
                    <a:ln>
                      <a:noFill/>
                    </a:ln>
                  </pic:spPr>
                </pic:pic>
              </a:graphicData>
            </a:graphic>
          </wp:inline>
        </w:drawing>
      </w:r>
    </w:p>
    <w:p w14:paraId="3A817FE0" w14:textId="77777777" w:rsidR="003018F8" w:rsidRDefault="003018F8" w:rsidP="003018F8">
      <w:pPr>
        <w:spacing w:before="120"/>
        <w:rPr>
          <w:rFonts w:ascii="Segoe UI" w:hAnsi="Segoe UI" w:cs="Segoe UI"/>
          <w:szCs w:val="22"/>
        </w:rPr>
      </w:pPr>
      <w:r>
        <w:rPr>
          <w:rFonts w:ascii="Segoe UI" w:hAnsi="Segoe UI" w:cs="Segoe UI"/>
          <w:szCs w:val="22"/>
        </w:rPr>
        <w:t>Betriebskostenbilanz</w:t>
      </w:r>
    </w:p>
    <w:p w14:paraId="15138ED1" w14:textId="77777777" w:rsidR="003018F8" w:rsidRDefault="003018F8" w:rsidP="003018F8">
      <w:pPr>
        <w:spacing w:before="120"/>
        <w:rPr>
          <w:rFonts w:ascii="Segoe UI" w:hAnsi="Segoe UI" w:cs="Segoe UI"/>
          <w:szCs w:val="22"/>
        </w:rPr>
      </w:pPr>
      <w:r>
        <w:rPr>
          <w:noProof/>
        </w:rPr>
        <w:drawing>
          <wp:inline distT="0" distB="0" distL="0" distR="0" wp14:anchorId="72EA458D" wp14:editId="207B1940">
            <wp:extent cx="5939790" cy="1187450"/>
            <wp:effectExtent l="0" t="0" r="3810" b="0"/>
            <wp:docPr id="1458929510" name="Grafik 1" descr="Ein Bild, das Text, Screenshot, Reihe, Schrift enthält.&#10;&#10;Automatisch generierte Beschreibung">
              <a:extLst xmlns:a="http://schemas.openxmlformats.org/drawingml/2006/main">
                <a:ext uri="{FF2B5EF4-FFF2-40B4-BE49-F238E27FC236}">
                  <a16:creationId xmlns:a16="http://schemas.microsoft.com/office/drawing/2014/main" id="{CB74B272-7364-5055-CCF4-E651BCC8BC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929510" name="Grafik 1" descr="Ein Bild, das Text, Screenshot, Reihe, Schrift enthält.&#10;&#10;Automatisch generierte Beschreibung">
                      <a:extLst>
                        <a:ext uri="{FF2B5EF4-FFF2-40B4-BE49-F238E27FC236}">
                          <a16:creationId xmlns:a16="http://schemas.microsoft.com/office/drawing/2014/main" id="{CB74B272-7364-5055-CCF4-E651BCC8BCCA}"/>
                        </a:ext>
                      </a:extLst>
                    </pic:cNvPr>
                    <pic:cNvPicPr>
                      <a:picLocks noChangeAspect="1"/>
                    </pic:cNvPicPr>
                  </pic:nvPicPr>
                  <pic:blipFill>
                    <a:blip r:embed="rId14"/>
                    <a:stretch>
                      <a:fillRect/>
                    </a:stretch>
                  </pic:blipFill>
                  <pic:spPr>
                    <a:xfrm>
                      <a:off x="0" y="0"/>
                      <a:ext cx="5939790" cy="1187450"/>
                    </a:xfrm>
                    <a:prstGeom prst="rect">
                      <a:avLst/>
                    </a:prstGeom>
                  </pic:spPr>
                </pic:pic>
              </a:graphicData>
            </a:graphic>
          </wp:inline>
        </w:drawing>
      </w:r>
    </w:p>
    <w:p w14:paraId="2A5AA49F" w14:textId="77777777" w:rsidR="003018F8" w:rsidRPr="00173B58" w:rsidRDefault="003018F8" w:rsidP="003018F8">
      <w:pPr>
        <w:spacing w:before="120"/>
        <w:rPr>
          <w:rFonts w:ascii="Segoe UI" w:hAnsi="Segoe UI" w:cs="Segoe UI"/>
          <w:szCs w:val="22"/>
        </w:rPr>
      </w:pPr>
      <w:r>
        <w:rPr>
          <w:rFonts w:ascii="Segoe UI" w:hAnsi="Segoe UI" w:cs="Segoe UI"/>
          <w:szCs w:val="22"/>
        </w:rPr>
        <w:t>Auszug Energiebericht RWTH Aachen 2020/2021</w:t>
      </w:r>
    </w:p>
    <w:p w14:paraId="0DE80F01" w14:textId="77777777" w:rsidR="00853EB4" w:rsidRPr="00173B58" w:rsidRDefault="00853EB4" w:rsidP="00283829">
      <w:pPr>
        <w:spacing w:before="120"/>
        <w:rPr>
          <w:rFonts w:ascii="Segoe UI" w:hAnsi="Segoe UI" w:cs="Segoe UI"/>
          <w:szCs w:val="22"/>
        </w:rPr>
      </w:pPr>
    </w:p>
    <w:p w14:paraId="5C41909C" w14:textId="4BB5E50E" w:rsidR="00583B0B" w:rsidRDefault="0087339C" w:rsidP="00283829">
      <w:pPr>
        <w:spacing w:before="120"/>
        <w:rPr>
          <w:rFonts w:ascii="Segoe UI" w:hAnsi="Segoe UI" w:cs="Segoe UI"/>
          <w:b/>
          <w:color w:val="C00000"/>
          <w:sz w:val="28"/>
          <w:szCs w:val="22"/>
        </w:rPr>
      </w:pPr>
      <w:r>
        <w:rPr>
          <w:rFonts w:ascii="Segoe UI" w:hAnsi="Segoe UI" w:cs="Segoe UI"/>
          <w:b/>
          <w:color w:val="C00000"/>
          <w:sz w:val="28"/>
          <w:szCs w:val="22"/>
        </w:rPr>
        <w:t>Denkmalschutz</w:t>
      </w:r>
    </w:p>
    <w:p w14:paraId="7654A4AB" w14:textId="77777777" w:rsidR="000F2764" w:rsidRDefault="000F2764" w:rsidP="0087339C">
      <w:pPr>
        <w:spacing w:before="120"/>
        <w:rPr>
          <w:rFonts w:ascii="Segoe UI" w:hAnsi="Segoe UI" w:cs="Segoe UI"/>
          <w:b/>
          <w:szCs w:val="22"/>
        </w:rPr>
      </w:pPr>
      <w:r w:rsidRPr="000F2764">
        <w:rPr>
          <w:rFonts w:ascii="Segoe UI" w:hAnsi="Segoe UI" w:cs="Segoe UI"/>
          <w:b/>
          <w:szCs w:val="22"/>
        </w:rPr>
        <w:t xml:space="preserve">Umgang mit vorhandener Bausubstanz </w:t>
      </w:r>
    </w:p>
    <w:p w14:paraId="27D74C07" w14:textId="79CFFDDF" w:rsidR="0087339C" w:rsidRDefault="00ED71A4" w:rsidP="0087339C">
      <w:pPr>
        <w:spacing w:before="120"/>
        <w:rPr>
          <w:rFonts w:ascii="Segoe UI" w:hAnsi="Segoe UI" w:cs="Segoe UI"/>
          <w:szCs w:val="22"/>
        </w:rPr>
      </w:pPr>
      <w:r>
        <w:rPr>
          <w:rFonts w:ascii="Segoe UI" w:hAnsi="Segoe UI" w:cs="Segoe UI"/>
          <w:szCs w:val="22"/>
        </w:rPr>
        <w:t>Das Hauptgebäude der RWTH soll nach seiner energetischen Sanierung ohne große Eingriffe in die Bausubstanz in neuem Glanz erstrahlen. Die Sanierung der Natursteinfassaden wird unabhängig von den energetischen Maßnahmen durchgeführt.</w:t>
      </w:r>
    </w:p>
    <w:p w14:paraId="50753B8F" w14:textId="2535DB8F" w:rsidR="00ED71A4" w:rsidRDefault="00ED71A4" w:rsidP="0087339C">
      <w:pPr>
        <w:spacing w:before="120"/>
        <w:rPr>
          <w:rFonts w:ascii="Segoe UI" w:hAnsi="Segoe UI" w:cs="Segoe UI"/>
          <w:szCs w:val="22"/>
        </w:rPr>
      </w:pPr>
      <w:r>
        <w:rPr>
          <w:rFonts w:ascii="Segoe UI" w:hAnsi="Segoe UI" w:cs="Segoe UI"/>
          <w:szCs w:val="22"/>
        </w:rPr>
        <w:t>Alle für die energetische Sanierung notwendigen Dämmmaßnahmen erfolgen im Inneren:</w:t>
      </w:r>
    </w:p>
    <w:p w14:paraId="699FD1E4" w14:textId="40D34151" w:rsidR="00ED71A4" w:rsidRDefault="00ED71A4" w:rsidP="0087339C">
      <w:pPr>
        <w:spacing w:before="120"/>
        <w:rPr>
          <w:rFonts w:ascii="Segoe UI" w:hAnsi="Segoe UI" w:cs="Segoe UI"/>
          <w:szCs w:val="22"/>
        </w:rPr>
      </w:pPr>
      <w:r>
        <w:rPr>
          <w:rFonts w:ascii="Segoe UI" w:hAnsi="Segoe UI" w:cs="Segoe UI"/>
          <w:szCs w:val="22"/>
        </w:rPr>
        <w:t>Die obersten Geschossdecken z.B. über Aula oder in den Querbauten, die die Innenhöfe abschließen werden gedämmt. Innenwände erhalten – wo notwendig – einen ca. 30</w:t>
      </w:r>
      <w:r w:rsidR="00840794">
        <w:rPr>
          <w:rFonts w:ascii="Segoe UI" w:hAnsi="Segoe UI" w:cs="Segoe UI"/>
          <w:szCs w:val="22"/>
        </w:rPr>
        <w:t>-50</w:t>
      </w:r>
      <w:r>
        <w:rPr>
          <w:rFonts w:ascii="Segoe UI" w:hAnsi="Segoe UI" w:cs="Segoe UI"/>
          <w:szCs w:val="22"/>
        </w:rPr>
        <w:t xml:space="preserve">mm starken </w:t>
      </w:r>
      <w:proofErr w:type="spellStart"/>
      <w:r>
        <w:rPr>
          <w:rFonts w:ascii="Segoe UI" w:hAnsi="Segoe UI" w:cs="Segoe UI"/>
          <w:szCs w:val="22"/>
        </w:rPr>
        <w:t>Dämmputz</w:t>
      </w:r>
      <w:proofErr w:type="spellEnd"/>
      <w:r>
        <w:rPr>
          <w:rFonts w:ascii="Segoe UI" w:hAnsi="Segoe UI" w:cs="Segoe UI"/>
          <w:szCs w:val="22"/>
        </w:rPr>
        <w:t>, sodass sich die Wandstärken nur marginal verändern, bzw. Raumgrößen erhalten bleiben. Für die Fenster gibt es aufbauend auf den bisherigen Untersuchungen unterschiedliche Ansätze. Fenster im UG können z.T. erneuert werden. Fenster in den Außenfassaden, also den denkmalgeschützten Bereichen, erhalten innenliegend eine zweite Fensterebene, die aus den einfachen Fenstern (Einfachverglasung, usw.) eine Kastenfensterkonstruktion entwickelt.</w:t>
      </w:r>
    </w:p>
    <w:p w14:paraId="1A80038A" w14:textId="5326E225" w:rsidR="00ED71A4" w:rsidRDefault="00ED71A4" w:rsidP="0087339C">
      <w:pPr>
        <w:spacing w:before="120"/>
        <w:rPr>
          <w:rFonts w:ascii="Segoe UI" w:hAnsi="Segoe UI" w:cs="Segoe UI"/>
          <w:szCs w:val="22"/>
        </w:rPr>
      </w:pPr>
      <w:r>
        <w:rPr>
          <w:rFonts w:ascii="Segoe UI" w:hAnsi="Segoe UI" w:cs="Segoe UI"/>
          <w:szCs w:val="22"/>
        </w:rPr>
        <w:t>Dabei können die historischen Fenster in ihrer Grundstruktur erhalten bleiben, eine Sanierung der Rahmen, Gläser usw. kann mit hohem denkmalpflegerische</w:t>
      </w:r>
      <w:r w:rsidR="00D61318">
        <w:rPr>
          <w:rFonts w:ascii="Segoe UI" w:hAnsi="Segoe UI" w:cs="Segoe UI"/>
          <w:szCs w:val="22"/>
        </w:rPr>
        <w:t xml:space="preserve">m Augenmerk durchgeführt werden. In den Zwischenräumen der Kastenfenster kann die Raumqualität klimatisch gesteuert werden. Ebenso sind innenliegende Sonnenschutzlamellen </w:t>
      </w:r>
      <w:r w:rsidR="002B4FA8">
        <w:rPr>
          <w:rFonts w:ascii="Segoe UI" w:hAnsi="Segoe UI" w:cs="Segoe UI"/>
          <w:szCs w:val="22"/>
        </w:rPr>
        <w:t>vorgesehen.</w:t>
      </w:r>
    </w:p>
    <w:p w14:paraId="1A908DBB" w14:textId="7794EA2D" w:rsidR="00D61318" w:rsidRDefault="00D61318" w:rsidP="0087339C">
      <w:pPr>
        <w:spacing w:before="120"/>
        <w:rPr>
          <w:rFonts w:ascii="Segoe UI" w:hAnsi="Segoe UI" w:cs="Segoe UI"/>
          <w:szCs w:val="22"/>
        </w:rPr>
      </w:pPr>
      <w:r>
        <w:rPr>
          <w:rFonts w:ascii="Segoe UI" w:hAnsi="Segoe UI" w:cs="Segoe UI"/>
          <w:szCs w:val="22"/>
        </w:rPr>
        <w:lastRenderedPageBreak/>
        <w:t>Diese Kastenfensteroption kann auf die verschiedensten Fensterformate und -formen angewandt werden.</w:t>
      </w:r>
    </w:p>
    <w:p w14:paraId="4594B283" w14:textId="6141B89C" w:rsidR="00D61318" w:rsidRDefault="00D61318" w:rsidP="0087339C">
      <w:pPr>
        <w:spacing w:before="120"/>
        <w:rPr>
          <w:rFonts w:ascii="Segoe UI" w:hAnsi="Segoe UI" w:cs="Segoe UI"/>
          <w:szCs w:val="22"/>
        </w:rPr>
      </w:pPr>
      <w:r>
        <w:rPr>
          <w:rFonts w:ascii="Segoe UI" w:hAnsi="Segoe UI" w:cs="Segoe UI"/>
          <w:szCs w:val="22"/>
        </w:rPr>
        <w:t xml:space="preserve">Im rechten Innenhof ist angedacht durch eine vollständige Hofüberdachung aus Stahl und Glas eine temperierte Pufferzone zu schaffen, wodurch neben der Aufenthaltsqualität, bzw. Nutzungsmöglichkeit des Innenhofes, ein Großteil der hauptsächlich Flurfenster ausschließlich saniert werden müsste. Eine Kastenfensterkonstruktion kann hier über zwei Geschosse eingespart werden, da der Innenhof zum „Innenraum“ wird. </w:t>
      </w:r>
      <w:r w:rsidR="001A7650">
        <w:rPr>
          <w:rFonts w:ascii="Segoe UI" w:hAnsi="Segoe UI" w:cs="Segoe UI"/>
          <w:szCs w:val="22"/>
        </w:rPr>
        <w:t xml:space="preserve">Der Innenhof wird zusätzlich „entsiegelt“ und schafft neben den neuen Nutzungsflächen für einen Cafeteria-Betrieb zusätzliche Grün- und Pflanzflächen, die zur Raumqualität beitragen und gleichzeitig Pufferflächen bei Starkregenereignissen bieten. </w:t>
      </w:r>
      <w:r>
        <w:rPr>
          <w:rFonts w:ascii="Segoe UI" w:hAnsi="Segoe UI" w:cs="Segoe UI"/>
          <w:szCs w:val="22"/>
        </w:rPr>
        <w:t xml:space="preserve">Ob diese Lösung auch auf den linken Innenhof angewandt wird, ist eine Option, die auf Basis </w:t>
      </w:r>
      <w:r w:rsidR="00BE7F9B">
        <w:rPr>
          <w:rFonts w:ascii="Segoe UI" w:hAnsi="Segoe UI" w:cs="Segoe UI"/>
          <w:szCs w:val="22"/>
        </w:rPr>
        <w:t>weiterer</w:t>
      </w:r>
      <w:r>
        <w:rPr>
          <w:rFonts w:ascii="Segoe UI" w:hAnsi="Segoe UI" w:cs="Segoe UI"/>
          <w:szCs w:val="22"/>
        </w:rPr>
        <w:t xml:space="preserve"> Wirtschaftlichkeitsberechnungen ausgelotet werden kann.</w:t>
      </w:r>
    </w:p>
    <w:p w14:paraId="044B44A4" w14:textId="45726EBB" w:rsidR="00D61318" w:rsidRDefault="00D61318" w:rsidP="0087339C">
      <w:pPr>
        <w:spacing w:before="120"/>
        <w:rPr>
          <w:rFonts w:ascii="Segoe UI" w:hAnsi="Segoe UI" w:cs="Segoe UI"/>
          <w:szCs w:val="22"/>
        </w:rPr>
      </w:pPr>
      <w:r>
        <w:rPr>
          <w:rFonts w:ascii="Segoe UI" w:hAnsi="Segoe UI" w:cs="Segoe UI"/>
          <w:szCs w:val="22"/>
        </w:rPr>
        <w:t>Der rechte Längsflügel des Gebäudes wird im 3.OG ertüchtigt, erhält eine vollständig nutzbare Decke über 2.OG, um hier im 3.OG neue nutzbare Flächen zu schaffen. Durch einen neuen Aufbau (Wände, Fenster, Dach, etc.) wird die bisherige energetische Schwachstelle ausgemerzt.</w:t>
      </w:r>
    </w:p>
    <w:p w14:paraId="1C37B51B" w14:textId="364A1342" w:rsidR="00D61318" w:rsidRDefault="001A7650" w:rsidP="0087339C">
      <w:pPr>
        <w:spacing w:before="120"/>
        <w:rPr>
          <w:rFonts w:ascii="Segoe UI" w:hAnsi="Segoe UI" w:cs="Segoe UI"/>
          <w:szCs w:val="22"/>
        </w:rPr>
      </w:pPr>
      <w:r>
        <w:rPr>
          <w:rFonts w:ascii="Segoe UI" w:hAnsi="Segoe UI" w:cs="Segoe UI"/>
          <w:szCs w:val="22"/>
        </w:rPr>
        <w:t xml:space="preserve">Durch die Ausführung in Leichtbauweise / Holzbauweise trägt das neue 3.OG zu einem nachhaltigen Zusatzeffekt bei. </w:t>
      </w:r>
      <w:r w:rsidR="00D61318">
        <w:rPr>
          <w:rFonts w:ascii="Segoe UI" w:hAnsi="Segoe UI" w:cs="Segoe UI"/>
          <w:szCs w:val="22"/>
        </w:rPr>
        <w:t>Die Dachform wird beibehalten, die Firsthöhe bleibt gleich. Das Dach erhält eine Belegung mit PVT-Modulen. Der Gesamteindruck des Gebäudes von nah und fern bleibt nahezu unverändert.</w:t>
      </w:r>
    </w:p>
    <w:p w14:paraId="0AA2B22E" w14:textId="395EF56C" w:rsidR="00D61318" w:rsidRDefault="00D61318" w:rsidP="0087339C">
      <w:pPr>
        <w:spacing w:before="120"/>
        <w:rPr>
          <w:rFonts w:ascii="Segoe UI" w:hAnsi="Segoe UI" w:cs="Segoe UI"/>
          <w:szCs w:val="22"/>
        </w:rPr>
      </w:pPr>
      <w:r>
        <w:rPr>
          <w:rFonts w:ascii="Segoe UI" w:hAnsi="Segoe UI" w:cs="Segoe UI"/>
          <w:szCs w:val="22"/>
        </w:rPr>
        <w:t xml:space="preserve">Für den linken Längsbau wäre eine neue Konstruktion des 3.OG aufgrund der </w:t>
      </w:r>
      <w:r w:rsidR="00840794">
        <w:rPr>
          <w:rFonts w:ascii="Segoe UI" w:hAnsi="Segoe UI" w:cs="Segoe UI"/>
          <w:szCs w:val="22"/>
        </w:rPr>
        <w:t>Wiedergewinnung einer klaren Gebäudesym</w:t>
      </w:r>
      <w:r>
        <w:rPr>
          <w:rFonts w:ascii="Segoe UI" w:hAnsi="Segoe UI" w:cs="Segoe UI"/>
          <w:szCs w:val="22"/>
        </w:rPr>
        <w:t>metrie</w:t>
      </w:r>
      <w:r w:rsidR="00840794">
        <w:rPr>
          <w:rFonts w:ascii="Segoe UI" w:hAnsi="Segoe UI" w:cs="Segoe UI"/>
          <w:szCs w:val="22"/>
        </w:rPr>
        <w:t>,</w:t>
      </w:r>
      <w:r>
        <w:rPr>
          <w:rFonts w:ascii="Segoe UI" w:hAnsi="Segoe UI" w:cs="Segoe UI"/>
          <w:szCs w:val="22"/>
        </w:rPr>
        <w:t xml:space="preserve"> eine </w:t>
      </w:r>
      <w:r w:rsidR="00935A31">
        <w:rPr>
          <w:rFonts w:ascii="Segoe UI" w:hAnsi="Segoe UI" w:cs="Segoe UI"/>
          <w:szCs w:val="22"/>
        </w:rPr>
        <w:t>gute Lösung, wird aber in der aktuellen Betrachtung im Wettbewerb noch nicht dargestellt.</w:t>
      </w:r>
    </w:p>
    <w:p w14:paraId="51B136BF" w14:textId="47D2CEE3" w:rsidR="00935A31" w:rsidRDefault="00935A31" w:rsidP="0087339C">
      <w:pPr>
        <w:spacing w:before="120"/>
        <w:rPr>
          <w:rFonts w:ascii="Segoe UI" w:hAnsi="Segoe UI" w:cs="Segoe UI"/>
          <w:szCs w:val="22"/>
        </w:rPr>
      </w:pPr>
      <w:r>
        <w:rPr>
          <w:rFonts w:ascii="Segoe UI" w:hAnsi="Segoe UI" w:cs="Segoe UI"/>
          <w:szCs w:val="22"/>
        </w:rPr>
        <w:t xml:space="preserve">Symmetrie und Beruhigung der Dachform gerade auf dem Längsbau links wäre aus denkmalpflegerischer Sicht sicherlich erstrebenswert. Eine optionale Umsetzung muss in Bezug auf Wirtschaftlichkeit möglichst </w:t>
      </w:r>
      <w:r w:rsidRPr="00935A31">
        <w:rPr>
          <w:rFonts w:ascii="Segoe UI" w:hAnsi="Segoe UI" w:cs="Segoe UI"/>
          <w:szCs w:val="22"/>
          <w:u w:val="single"/>
        </w:rPr>
        <w:t>vo</w:t>
      </w:r>
      <w:r>
        <w:rPr>
          <w:rFonts w:ascii="Segoe UI" w:hAnsi="Segoe UI" w:cs="Segoe UI"/>
          <w:szCs w:val="22"/>
        </w:rPr>
        <w:t xml:space="preserve">r einer Belegung der Dachfläche mit PVT-Modulen abgewogen werden. </w:t>
      </w:r>
      <w:r w:rsidR="00BE7F9B">
        <w:rPr>
          <w:rFonts w:ascii="Segoe UI" w:hAnsi="Segoe UI" w:cs="Segoe UI"/>
          <w:szCs w:val="22"/>
        </w:rPr>
        <w:t>Aus Gründen der Nachhaltigkeit wird im vorgelegten Konzept vorerst auf einen Rück- und Neubau des 3.OG auf dem linken Längsflügel verzichtet.</w:t>
      </w:r>
    </w:p>
    <w:p w14:paraId="2838F37B" w14:textId="019BCDA1" w:rsidR="001A7650" w:rsidRDefault="001A7650" w:rsidP="0087339C">
      <w:pPr>
        <w:spacing w:before="120"/>
        <w:rPr>
          <w:rFonts w:ascii="Segoe UI" w:hAnsi="Segoe UI" w:cs="Segoe UI"/>
          <w:szCs w:val="22"/>
        </w:rPr>
      </w:pPr>
      <w:r>
        <w:rPr>
          <w:rFonts w:ascii="Segoe UI" w:hAnsi="Segoe UI" w:cs="Segoe UI"/>
          <w:szCs w:val="22"/>
        </w:rPr>
        <w:t xml:space="preserve">Die bisherige Flachdachfläche vor und unterhalb der </w:t>
      </w:r>
      <w:proofErr w:type="spellStart"/>
      <w:r>
        <w:rPr>
          <w:rFonts w:ascii="Segoe UI" w:hAnsi="Segoe UI" w:cs="Segoe UI"/>
          <w:szCs w:val="22"/>
        </w:rPr>
        <w:t>Skylounge</w:t>
      </w:r>
      <w:proofErr w:type="spellEnd"/>
      <w:r>
        <w:rPr>
          <w:rFonts w:ascii="Segoe UI" w:hAnsi="Segoe UI" w:cs="Segoe UI"/>
          <w:szCs w:val="22"/>
        </w:rPr>
        <w:t>-Terrasse wird energetisch saniert und danach als Gründach ausgebildet, sodass auch hier eine Regenwasserrückhaltung funktioniert und die Überhitzung der Flächen verhindert werden.</w:t>
      </w:r>
    </w:p>
    <w:p w14:paraId="3CE82140" w14:textId="07E41199" w:rsidR="00935A31" w:rsidRDefault="00935A31" w:rsidP="0087339C">
      <w:pPr>
        <w:spacing w:before="120"/>
        <w:rPr>
          <w:rFonts w:ascii="Segoe UI" w:hAnsi="Segoe UI" w:cs="Segoe UI"/>
          <w:szCs w:val="22"/>
        </w:rPr>
      </w:pPr>
      <w:r>
        <w:rPr>
          <w:rFonts w:ascii="Segoe UI" w:hAnsi="Segoe UI" w:cs="Segoe UI"/>
          <w:szCs w:val="22"/>
        </w:rPr>
        <w:t xml:space="preserve">Im Innenbereich </w:t>
      </w:r>
      <w:r w:rsidR="00840794">
        <w:rPr>
          <w:rFonts w:ascii="Segoe UI" w:hAnsi="Segoe UI" w:cs="Segoe UI"/>
          <w:szCs w:val="22"/>
        </w:rPr>
        <w:t>des gesamten Gebäudes sind</w:t>
      </w:r>
      <w:r>
        <w:rPr>
          <w:rFonts w:ascii="Segoe UI" w:hAnsi="Segoe UI" w:cs="Segoe UI"/>
          <w:szCs w:val="22"/>
        </w:rPr>
        <w:t xml:space="preserve"> keine Eingriffe in die Bausubstanz vorgesehen.</w:t>
      </w:r>
    </w:p>
    <w:p w14:paraId="2505ACD5" w14:textId="24FAD0ED" w:rsidR="00935A31" w:rsidRDefault="00935A31" w:rsidP="0087339C">
      <w:pPr>
        <w:spacing w:before="120"/>
        <w:rPr>
          <w:rFonts w:ascii="Segoe UI" w:hAnsi="Segoe UI" w:cs="Segoe UI"/>
          <w:szCs w:val="22"/>
        </w:rPr>
      </w:pPr>
      <w:r>
        <w:rPr>
          <w:rFonts w:ascii="Segoe UI" w:hAnsi="Segoe UI" w:cs="Segoe UI"/>
          <w:szCs w:val="22"/>
        </w:rPr>
        <w:t>Nicht tragende und nicht denkmalrelevante Innenwände werden zugunsten offener Raumstrukturen in den Bürobereichen zurückgebaut. Nachträglich eingezogene Mezzanin-Ebenen, die bis an die historischen Fenster herangebaut wurden (inkl. Heizkörper direkt vor den Fenstern) werden ebenfalls entfernt und nur wo wirklich platztechnisch erforderlich neu eingezogen.</w:t>
      </w:r>
    </w:p>
    <w:p w14:paraId="0BEBBA6F" w14:textId="6987B484" w:rsidR="00935A31" w:rsidRDefault="00935A31" w:rsidP="0087339C">
      <w:pPr>
        <w:spacing w:before="120"/>
        <w:rPr>
          <w:rFonts w:ascii="Segoe UI" w:hAnsi="Segoe UI" w:cs="Segoe UI"/>
          <w:szCs w:val="22"/>
        </w:rPr>
      </w:pPr>
      <w:r>
        <w:rPr>
          <w:rFonts w:ascii="Segoe UI" w:hAnsi="Segoe UI" w:cs="Segoe UI"/>
          <w:szCs w:val="22"/>
        </w:rPr>
        <w:t>Neue Zwischenebenen enden mindestens 2m von der Fassade abgerückt, sodass von außen das historisch geprägte Bild der überhohen Räume und Fenster wieder zurückgebracht wird.</w:t>
      </w:r>
    </w:p>
    <w:p w14:paraId="2AA5F182" w14:textId="038CE50A" w:rsidR="00935A31" w:rsidRDefault="00935A31" w:rsidP="0087339C">
      <w:pPr>
        <w:spacing w:before="120"/>
        <w:rPr>
          <w:rFonts w:ascii="Segoe UI" w:hAnsi="Segoe UI" w:cs="Segoe UI"/>
          <w:szCs w:val="22"/>
        </w:rPr>
      </w:pPr>
      <w:r>
        <w:rPr>
          <w:rFonts w:ascii="Segoe UI" w:hAnsi="Segoe UI" w:cs="Segoe UI"/>
          <w:szCs w:val="22"/>
        </w:rPr>
        <w:t>Alle historisch wertvollen Oberflächen und Innenraumelemente bleiben zwingend erhalten und müssen – wo erforderlich – unter denkmalpflegerischer Aufsicht saniert werden.</w:t>
      </w:r>
    </w:p>
    <w:p w14:paraId="51C2EEF5" w14:textId="77777777" w:rsidR="008B5023" w:rsidRPr="00173B58" w:rsidRDefault="008B5023" w:rsidP="00283829">
      <w:pPr>
        <w:spacing w:before="120"/>
        <w:rPr>
          <w:rFonts w:ascii="Segoe UI" w:hAnsi="Segoe UI" w:cs="Segoe UI"/>
          <w:szCs w:val="22"/>
        </w:rPr>
      </w:pPr>
    </w:p>
    <w:p w14:paraId="751CA91D" w14:textId="72F87438" w:rsidR="003674FF" w:rsidRPr="00173B58" w:rsidRDefault="003674FF" w:rsidP="00D474BA">
      <w:pPr>
        <w:rPr>
          <w:rFonts w:ascii="Segoe UI" w:hAnsi="Segoe UI" w:cs="Segoe UI"/>
          <w:szCs w:val="22"/>
        </w:rPr>
      </w:pPr>
    </w:p>
    <w:sectPr w:rsidR="003674FF" w:rsidRPr="00173B58">
      <w:headerReference w:type="even" r:id="rId15"/>
      <w:headerReference w:type="default" r:id="rId16"/>
      <w:footerReference w:type="even" r:id="rId17"/>
      <w:footerReference w:type="default" r:id="rId18"/>
      <w:headerReference w:type="first" r:id="rId19"/>
      <w:footerReference w:type="first" r:id="rId20"/>
      <w:pgSz w:w="11906" w:h="16838" w:code="9"/>
      <w:pgMar w:top="2268"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A9B8F" w14:textId="77777777" w:rsidR="0045354C" w:rsidRDefault="0045354C">
      <w:r>
        <w:separator/>
      </w:r>
    </w:p>
  </w:endnote>
  <w:endnote w:type="continuationSeparator" w:id="0">
    <w:p w14:paraId="2CFD5B10" w14:textId="77777777" w:rsidR="0045354C" w:rsidRDefault="00453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umnst777 BT">
    <w:altName w:val="Calibri"/>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A9EDD" w14:textId="77777777" w:rsidR="000521B6" w:rsidRDefault="000521B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0CDB4" w14:textId="77777777" w:rsidR="000521B6" w:rsidRDefault="000521B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C0A62" w14:textId="77777777" w:rsidR="00173B58" w:rsidRPr="00173B58" w:rsidRDefault="00173B58" w:rsidP="00173B58">
    <w:pPr>
      <w:pStyle w:val="Fuzeile"/>
      <w:jc w:val="center"/>
      <w:rPr>
        <w:rFonts w:ascii="Segoe UI" w:hAnsi="Segoe UI" w:cs="Segoe UI"/>
        <w:sz w:val="18"/>
      </w:rPr>
    </w:pPr>
    <w:r>
      <w:rPr>
        <w:rFonts w:ascii="Segoe UI" w:hAnsi="Segoe UI" w:cs="Segoe UI"/>
        <w:sz w:val="18"/>
      </w:rPr>
      <w:t xml:space="preserve">Seite </w:t>
    </w:r>
    <w:r w:rsidRPr="00173B58">
      <w:rPr>
        <w:rFonts w:ascii="Segoe UI" w:hAnsi="Segoe UI" w:cs="Segoe UI"/>
        <w:sz w:val="18"/>
      </w:rPr>
      <w:fldChar w:fldCharType="begin"/>
    </w:r>
    <w:r w:rsidRPr="00173B58">
      <w:rPr>
        <w:rFonts w:ascii="Segoe UI" w:hAnsi="Segoe UI" w:cs="Segoe UI"/>
        <w:sz w:val="18"/>
      </w:rPr>
      <w:instrText>PAGE   \* MERGEFORMAT</w:instrText>
    </w:r>
    <w:r w:rsidRPr="00173B58">
      <w:rPr>
        <w:rFonts w:ascii="Segoe UI" w:hAnsi="Segoe UI" w:cs="Segoe UI"/>
        <w:sz w:val="18"/>
      </w:rPr>
      <w:fldChar w:fldCharType="separate"/>
    </w:r>
    <w:r w:rsidR="00352EE2">
      <w:rPr>
        <w:rFonts w:ascii="Segoe UI" w:hAnsi="Segoe UI" w:cs="Segoe UI"/>
        <w:noProof/>
        <w:sz w:val="18"/>
      </w:rPr>
      <w:t>1</w:t>
    </w:r>
    <w:r w:rsidRPr="00173B58">
      <w:rPr>
        <w:rFonts w:ascii="Segoe UI" w:hAnsi="Segoe UI" w:cs="Segoe UI"/>
        <w:sz w:val="18"/>
      </w:rPr>
      <w:fldChar w:fldCharType="end"/>
    </w:r>
    <w:r>
      <w:rPr>
        <w:rFonts w:ascii="Segoe UI" w:hAnsi="Segoe UI" w:cs="Segoe UI"/>
        <w:sz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3E162" w14:textId="77777777" w:rsidR="0045354C" w:rsidRDefault="0045354C">
      <w:r>
        <w:separator/>
      </w:r>
    </w:p>
  </w:footnote>
  <w:footnote w:type="continuationSeparator" w:id="0">
    <w:p w14:paraId="5D1CFD23" w14:textId="77777777" w:rsidR="0045354C" w:rsidRDefault="004535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C0A5B" w14:textId="77777777" w:rsidR="0007672F" w:rsidRDefault="003503FD">
    <w:pPr>
      <w:pStyle w:val="Kopfzeile"/>
    </w:pPr>
    <w:r>
      <w:rPr>
        <w:noProof/>
        <w:sz w:val="20"/>
      </w:rPr>
      <mc:AlternateContent>
        <mc:Choice Requires="wps">
          <w:drawing>
            <wp:anchor distT="0" distB="0" distL="114300" distR="114300" simplePos="0" relativeHeight="251658240" behindDoc="0" locked="0" layoutInCell="1" allowOverlap="1" wp14:anchorId="1F7C0A63" wp14:editId="678B7607">
              <wp:simplePos x="0" y="0"/>
              <wp:positionH relativeFrom="page">
                <wp:posOffset>-13970</wp:posOffset>
              </wp:positionH>
              <wp:positionV relativeFrom="page">
                <wp:posOffset>771525</wp:posOffset>
              </wp:positionV>
              <wp:extent cx="756031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560310" cy="0"/>
                      </a:xfrm>
                      <a:prstGeom prst="line">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8FC7FF8" id="Line 3" o:spid="_x0000_s1026" style="position:absolute;flip:x;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pt,60.75pt" to="59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" strokecolor="silver">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C0A5D" w14:textId="77777777" w:rsidR="0007672F" w:rsidRPr="00283829" w:rsidRDefault="00142105">
    <w:pPr>
      <w:pStyle w:val="Kopfzeile"/>
      <w:rPr>
        <w:rFonts w:ascii="Segoe UI" w:hAnsi="Segoe UI" w:cs="Segoe UI"/>
      </w:rPr>
    </w:pPr>
    <w:r w:rsidRPr="00283829">
      <w:rPr>
        <w:rFonts w:ascii="Segoe UI" w:hAnsi="Segoe UI" w:cs="Segoe UI"/>
        <w:color w:val="999999"/>
        <w:sz w:val="18"/>
      </w:rPr>
      <w:t>Wettbewerb „</w:t>
    </w:r>
    <w:proofErr w:type="spellStart"/>
    <w:r w:rsidRPr="00283829">
      <w:rPr>
        <w:rFonts w:ascii="Segoe UI" w:hAnsi="Segoe UI" w:cs="Segoe UI"/>
        <w:color w:val="999999"/>
        <w:sz w:val="18"/>
        <w:highlight w:val="yellow"/>
      </w:rPr>
      <w:t>xxxx</w:t>
    </w:r>
    <w:proofErr w:type="spellEnd"/>
    <w:r w:rsidRPr="00283829">
      <w:rPr>
        <w:rFonts w:ascii="Segoe UI" w:hAnsi="Segoe UI" w:cs="Segoe UI"/>
        <w:color w:val="999999"/>
        <w:sz w:val="18"/>
      </w:rPr>
      <w:t>“</w:t>
    </w:r>
    <w:r w:rsidR="0007672F" w:rsidRPr="00283829">
      <w:rPr>
        <w:rFonts w:ascii="Segoe UI" w:hAnsi="Segoe UI" w:cs="Segoe UI"/>
        <w:color w:val="999999"/>
        <w:sz w:val="18"/>
      </w:rPr>
      <w:t xml:space="preserve"> - </w:t>
    </w:r>
    <w:r w:rsidR="003503FD" w:rsidRPr="00283829">
      <w:rPr>
        <w:rFonts w:ascii="Segoe UI" w:hAnsi="Segoe UI" w:cs="Segoe UI"/>
        <w:noProof/>
        <w:sz w:val="20"/>
      </w:rPr>
      <mc:AlternateContent>
        <mc:Choice Requires="wps">
          <w:drawing>
            <wp:anchor distT="0" distB="0" distL="114300" distR="114300" simplePos="0" relativeHeight="251656192" behindDoc="0" locked="1" layoutInCell="1" allowOverlap="1" wp14:anchorId="1F7C0A65" wp14:editId="65ED9C20">
              <wp:simplePos x="0" y="0"/>
              <wp:positionH relativeFrom="page">
                <wp:posOffset>-13970</wp:posOffset>
              </wp:positionH>
              <wp:positionV relativeFrom="page">
                <wp:posOffset>935990</wp:posOffset>
              </wp:positionV>
              <wp:extent cx="756031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560310" cy="0"/>
                      </a:xfrm>
                      <a:prstGeom prst="line">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60759D4" id="Line 1" o:spid="_x0000_s1026" style="position:absolute;flip:x;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pt,73.7pt" to="594.2pt,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" strokecolor="silver">
              <w10:wrap anchorx="page" anchory="page"/>
              <w10:anchorlock/>
            </v:line>
          </w:pict>
        </mc:Fallback>
      </mc:AlternateContent>
    </w:r>
    <w:r w:rsidR="0007672F" w:rsidRPr="00283829">
      <w:rPr>
        <w:rFonts w:ascii="Segoe UI" w:hAnsi="Segoe UI" w:cs="Segoe UI"/>
        <w:color w:val="999999"/>
        <w:sz w:val="18"/>
      </w:rPr>
      <w:t>Erläuterungsbericht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C0A5E" w14:textId="5130F09A" w:rsidR="0007672F" w:rsidRPr="00283829" w:rsidRDefault="0049141B" w:rsidP="00805AB3">
    <w:pPr>
      <w:pStyle w:val="Kopfzeile"/>
      <w:spacing w:before="120"/>
      <w:rPr>
        <w:rFonts w:ascii="Segoe UI" w:hAnsi="Segoe UI" w:cs="Segoe UI"/>
      </w:rPr>
    </w:pPr>
    <w:r w:rsidRPr="000521B6">
      <w:rPr>
        <w:rFonts w:cs="Segoe UI"/>
        <w:noProof/>
        <w:sz w:val="20"/>
        <w:szCs w:val="22"/>
      </w:rPr>
      <mc:AlternateContent>
        <mc:Choice Requires="wps">
          <w:drawing>
            <wp:anchor distT="45720" distB="45720" distL="114300" distR="114300" simplePos="0" relativeHeight="251659264" behindDoc="0" locked="0" layoutInCell="1" allowOverlap="1" wp14:anchorId="47D70E18" wp14:editId="18F09B1F">
              <wp:simplePos x="0" y="0"/>
              <wp:positionH relativeFrom="column">
                <wp:posOffset>3628402</wp:posOffset>
              </wp:positionH>
              <wp:positionV relativeFrom="paragraph">
                <wp:posOffset>-53927</wp:posOffset>
              </wp:positionV>
              <wp:extent cx="3027680" cy="1404620"/>
              <wp:effectExtent l="0" t="0" r="0" b="63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7680" cy="1404620"/>
                      </a:xfrm>
                      <a:prstGeom prst="rect">
                        <a:avLst/>
                      </a:prstGeom>
                      <a:noFill/>
                      <a:ln w="9525">
                        <a:noFill/>
                        <a:miter lim="800000"/>
                        <a:headEnd/>
                        <a:tailEnd/>
                      </a:ln>
                    </wps:spPr>
                    <wps:txbx>
                      <w:txbxContent>
                        <w:p w14:paraId="59EB6DA9" w14:textId="77777777" w:rsidR="0049141B" w:rsidRPr="00CD7942" w:rsidRDefault="0049141B" w:rsidP="00805AB3">
                          <w:pPr>
                            <w:pStyle w:val="Flietext"/>
                            <w:spacing w:before="120"/>
                            <w:ind w:firstLine="0"/>
                            <w:rPr>
                              <w:rFonts w:ascii="Segoe UI" w:hAnsi="Segoe UI" w:cs="Segoe UI"/>
                              <w:b/>
                              <w:bCs/>
                              <w:color w:val="auto"/>
                              <w:sz w:val="20"/>
                              <w:szCs w:val="20"/>
                            </w:rPr>
                          </w:pPr>
                          <w:r w:rsidRPr="00CD7942">
                            <w:rPr>
                              <w:rFonts w:ascii="Segoe UI" w:hAnsi="Segoe UI" w:cs="Segoe UI"/>
                              <w:b/>
                              <w:bCs/>
                              <w:color w:val="auto"/>
                              <w:sz w:val="20"/>
                              <w:szCs w:val="20"/>
                            </w:rPr>
                            <w:t>Das Denkmal der Zukunft!</w:t>
                          </w:r>
                        </w:p>
                        <w:p w14:paraId="37DAE04F" w14:textId="77777777" w:rsidR="0049141B" w:rsidRPr="00FD1489" w:rsidRDefault="0049141B" w:rsidP="00805AB3">
                          <w:pPr>
                            <w:pStyle w:val="Flietext"/>
                            <w:spacing w:before="120"/>
                            <w:ind w:firstLine="0"/>
                            <w:rPr>
                              <w:rFonts w:ascii="Segoe UI" w:hAnsi="Segoe UI" w:cs="Segoe UI"/>
                              <w:i/>
                              <w:iCs/>
                              <w:color w:val="auto"/>
                            </w:rPr>
                          </w:pPr>
                          <w:r w:rsidRPr="00CD7942">
                            <w:rPr>
                              <w:rFonts w:ascii="Segoe UI" w:hAnsi="Segoe UI" w:cs="Segoe UI"/>
                              <w:i/>
                              <w:iCs/>
                              <w:color w:val="auto"/>
                              <w:sz w:val="20"/>
                              <w:szCs w:val="20"/>
                            </w:rPr>
                            <w:t>Vom RWTH Gründungsbau (1870) zur „Klimaikone“</w:t>
                          </w:r>
                        </w:p>
                        <w:p w14:paraId="62DC1076" w14:textId="77777777" w:rsidR="0049141B" w:rsidRDefault="0049141B" w:rsidP="0049141B"/>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7D70E18" id="_x0000_t202" coordsize="21600,21600" o:spt="202" path="m,l,21600r21600,l21600,xe">
              <v:stroke joinstyle="miter"/>
              <v:path gradientshapeok="t" o:connecttype="rect"/>
            </v:shapetype>
            <v:shape id="Textfeld 2" o:spid="_x0000_s1026" type="#_x0000_t202" style="position:absolute;margin-left:285.7pt;margin-top:-4.25pt;width:238.4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" filled="f" stroked="f">
              <v:textbox style="mso-fit-shape-to-text:t">
                <w:txbxContent>
                  <w:p w14:paraId="59EB6DA9" w14:textId="77777777" w:rsidR="0049141B" w:rsidRPr="00CD7942" w:rsidRDefault="0049141B" w:rsidP="00805AB3">
                    <w:pPr>
                      <w:pStyle w:val="Flietext"/>
                      <w:spacing w:before="120"/>
                      <w:ind w:firstLine="0"/>
                      <w:rPr>
                        <w:rFonts w:ascii="Segoe UI" w:hAnsi="Segoe UI" w:cs="Segoe UI"/>
                        <w:b/>
                        <w:bCs/>
                        <w:color w:val="auto"/>
                        <w:sz w:val="20"/>
                        <w:szCs w:val="20"/>
                      </w:rPr>
                    </w:pPr>
                    <w:r w:rsidRPr="00CD7942">
                      <w:rPr>
                        <w:rFonts w:ascii="Segoe UI" w:hAnsi="Segoe UI" w:cs="Segoe UI"/>
                        <w:b/>
                        <w:bCs/>
                        <w:color w:val="auto"/>
                        <w:sz w:val="20"/>
                        <w:szCs w:val="20"/>
                      </w:rPr>
                      <w:t>Das Denkmal der Zukunft!</w:t>
                    </w:r>
                  </w:p>
                  <w:p w14:paraId="37DAE04F" w14:textId="77777777" w:rsidR="0049141B" w:rsidRPr="00FD1489" w:rsidRDefault="0049141B" w:rsidP="00805AB3">
                    <w:pPr>
                      <w:pStyle w:val="Flietext"/>
                      <w:spacing w:before="120"/>
                      <w:ind w:firstLine="0"/>
                      <w:rPr>
                        <w:rFonts w:ascii="Segoe UI" w:hAnsi="Segoe UI" w:cs="Segoe UI"/>
                        <w:i/>
                        <w:iCs/>
                        <w:color w:val="auto"/>
                      </w:rPr>
                    </w:pPr>
                    <w:r w:rsidRPr="00CD7942">
                      <w:rPr>
                        <w:rFonts w:ascii="Segoe UI" w:hAnsi="Segoe UI" w:cs="Segoe UI"/>
                        <w:i/>
                        <w:iCs/>
                        <w:color w:val="auto"/>
                        <w:sz w:val="20"/>
                        <w:szCs w:val="20"/>
                      </w:rPr>
                      <w:t>Vom RWTH Gründungsbau (1870) zur „Klimaikone“</w:t>
                    </w:r>
                  </w:p>
                  <w:p w14:paraId="62DC1076" w14:textId="77777777" w:rsidR="0049141B" w:rsidRDefault="0049141B" w:rsidP="0049141B"/>
                </w:txbxContent>
              </v:textbox>
              <w10:wrap type="square"/>
            </v:shape>
          </w:pict>
        </mc:Fallback>
      </mc:AlternateContent>
    </w:r>
    <w:r w:rsidR="00D474BA" w:rsidRPr="000521B6">
      <w:rPr>
        <w:rFonts w:ascii="Segoe UI" w:hAnsi="Segoe UI" w:cs="Segoe UI"/>
        <w:sz w:val="20"/>
        <w:szCs w:val="22"/>
      </w:rPr>
      <w:t>Realisierungswettbewerb</w:t>
    </w:r>
    <w:r w:rsidR="00173B58" w:rsidRPr="000521B6">
      <w:rPr>
        <w:rFonts w:ascii="Segoe UI" w:hAnsi="Segoe UI" w:cs="Segoe UI"/>
        <w:sz w:val="20"/>
        <w:szCs w:val="22"/>
      </w:rPr>
      <w:t xml:space="preserve"> „</w:t>
    </w:r>
    <w:r w:rsidR="00F074C6" w:rsidRPr="000521B6">
      <w:rPr>
        <w:rFonts w:ascii="Segoe UI" w:hAnsi="Segoe UI" w:cs="Segoe UI"/>
        <w:sz w:val="20"/>
        <w:szCs w:val="22"/>
      </w:rPr>
      <w:t>Hauptgebäude RWTH Aachen</w:t>
    </w:r>
    <w:r w:rsidR="000521B6">
      <w:rPr>
        <w:rFonts w:ascii="Segoe UI" w:hAnsi="Segoe UI" w:cs="Segoe UI"/>
        <w:sz w:val="20"/>
        <w:szCs w:val="22"/>
      </w:rPr>
      <w:t>“</w:t>
    </w:r>
  </w:p>
  <w:p w14:paraId="1F7C0A5F" w14:textId="63DA7B8F" w:rsidR="00173B58" w:rsidRPr="00283829" w:rsidRDefault="00173B58" w:rsidP="00805AB3">
    <w:pPr>
      <w:pStyle w:val="Kopfzeile"/>
      <w:spacing w:before="120"/>
      <w:rPr>
        <w:rFonts w:ascii="Segoe UI" w:hAnsi="Segoe UI" w:cs="Segoe UI"/>
        <w:b/>
        <w:sz w:val="24"/>
      </w:rPr>
    </w:pPr>
    <w:r w:rsidRPr="000521B6">
      <w:rPr>
        <w:rFonts w:ascii="Segoe UI" w:hAnsi="Segoe UI" w:cs="Segoe UI"/>
        <w:b/>
        <w:szCs w:val="22"/>
      </w:rPr>
      <w:t>Erläuterungsbericht</w:t>
    </w:r>
  </w:p>
  <w:p w14:paraId="1F7C0A60" w14:textId="77777777" w:rsidR="0007672F" w:rsidRPr="00283829" w:rsidRDefault="0007672F">
    <w:pPr>
      <w:pStyle w:val="Kopfzeile"/>
      <w:tabs>
        <w:tab w:val="left" w:pos="6120"/>
      </w:tabs>
      <w:rPr>
        <w:rFonts w:ascii="Segoe UI" w:hAnsi="Segoe UI" w:cs="Segoe UI"/>
      </w:rPr>
    </w:pPr>
  </w:p>
  <w:p w14:paraId="1F7C0A61" w14:textId="77777777" w:rsidR="0007672F" w:rsidRPr="00283829" w:rsidRDefault="003503FD">
    <w:pPr>
      <w:pStyle w:val="Kopfzeile"/>
      <w:tabs>
        <w:tab w:val="left" w:pos="6120"/>
      </w:tabs>
      <w:rPr>
        <w:rFonts w:ascii="Segoe UI" w:hAnsi="Segoe UI" w:cs="Segoe UI"/>
      </w:rPr>
    </w:pPr>
    <w:r w:rsidRPr="00283829">
      <w:rPr>
        <w:rFonts w:ascii="Segoe UI" w:hAnsi="Segoe UI" w:cs="Segoe UI"/>
        <w:noProof/>
        <w:sz w:val="20"/>
      </w:rPr>
      <mc:AlternateContent>
        <mc:Choice Requires="wps">
          <w:drawing>
            <wp:anchor distT="0" distB="0" distL="114300" distR="114300" simplePos="0" relativeHeight="251657216" behindDoc="0" locked="1" layoutInCell="1" allowOverlap="1" wp14:anchorId="1F7C0A67" wp14:editId="2A0605DC">
              <wp:simplePos x="0" y="0"/>
              <wp:positionH relativeFrom="page">
                <wp:posOffset>-13970</wp:posOffset>
              </wp:positionH>
              <wp:positionV relativeFrom="page">
                <wp:posOffset>1097280</wp:posOffset>
              </wp:positionV>
              <wp:extent cx="7560310"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560310" cy="0"/>
                      </a:xfrm>
                      <a:prstGeom prst="line">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306F8F9" id="Line 4" o:spid="_x0000_s1026" style="position:absolute;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pt,86.4pt" to="594.2pt,8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" strokecolor="silver">
              <w10:wrap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BFC40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801212"/>
    <w:multiLevelType w:val="multilevel"/>
    <w:tmpl w:val="BB16C70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pStyle w:val="Gliederung5"/>
      <w:lvlText w:val="%1.%2.%3.%4."/>
      <w:lvlJc w:val="left"/>
      <w:pPr>
        <w:tabs>
          <w:tab w:val="num" w:pos="1440"/>
        </w:tabs>
        <w:ind w:left="1134" w:hanging="1134"/>
      </w:pPr>
      <w:rPr>
        <w:rFonts w:hint="default"/>
      </w:rPr>
    </w:lvl>
    <w:lvl w:ilvl="4">
      <w:start w:val="1"/>
      <w:numFmt w:val="lowerLetter"/>
      <w:lvlText w:val="%5)"/>
      <w:lvlJc w:val="left"/>
      <w:pPr>
        <w:tabs>
          <w:tab w:val="num" w:pos="1800"/>
        </w:tabs>
        <w:ind w:left="1134" w:firstLine="306"/>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25F7C5C"/>
    <w:multiLevelType w:val="hybridMultilevel"/>
    <w:tmpl w:val="702229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433296A"/>
    <w:multiLevelType w:val="hybridMultilevel"/>
    <w:tmpl w:val="FD5C571A"/>
    <w:lvl w:ilvl="0" w:tplc="B0703A6C">
      <w:start w:val="1"/>
      <w:numFmt w:val="bullet"/>
      <w:pStyle w:val="AufzhlungSpartak"/>
      <w:lvlText w:val=""/>
      <w:lvlJc w:val="left"/>
      <w:pPr>
        <w:tabs>
          <w:tab w:val="num" w:pos="927"/>
        </w:tabs>
        <w:ind w:left="927"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2919BA"/>
    <w:multiLevelType w:val="hybridMultilevel"/>
    <w:tmpl w:val="5B84682E"/>
    <w:lvl w:ilvl="0" w:tplc="A15E0D3E">
      <w:start w:val="1"/>
      <w:numFmt w:val="decimal"/>
      <w:lvlText w:val="%1"/>
      <w:lvlJc w:val="right"/>
      <w:pPr>
        <w:tabs>
          <w:tab w:val="num" w:pos="814"/>
        </w:tabs>
        <w:ind w:left="284" w:firstLine="170"/>
      </w:pPr>
      <w:rPr>
        <w:rFonts w:hint="default"/>
        <w:color w:val="808080"/>
        <w:sz w:val="18"/>
      </w:rPr>
    </w:lvl>
    <w:lvl w:ilvl="1" w:tplc="D8B074FA">
      <w:start w:val="1"/>
      <w:numFmt w:val="bullet"/>
      <w:lvlText w:val=""/>
      <w:lvlJc w:val="left"/>
      <w:pPr>
        <w:tabs>
          <w:tab w:val="num" w:pos="1647"/>
        </w:tabs>
        <w:ind w:left="1647" w:hanging="567"/>
      </w:pPr>
      <w:rPr>
        <w:rFonts w:ascii="Wingdings" w:hAnsi="Wingdings" w:hint="default"/>
        <w:sz w:val="20"/>
        <w:szCs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57756E53"/>
    <w:multiLevelType w:val="singleLevel"/>
    <w:tmpl w:val="ED3A8B24"/>
    <w:lvl w:ilvl="0">
      <w:start w:val="1"/>
      <w:numFmt w:val="bullet"/>
      <w:pStyle w:val="Texteinzug"/>
      <w:lvlText w:val="-"/>
      <w:lvlJc w:val="left"/>
      <w:pPr>
        <w:tabs>
          <w:tab w:val="num" w:pos="567"/>
        </w:tabs>
        <w:ind w:left="567" w:hanging="567"/>
      </w:pPr>
      <w:rPr>
        <w:sz w:val="16"/>
        <w:szCs w:val="16"/>
      </w:rPr>
    </w:lvl>
  </w:abstractNum>
  <w:abstractNum w:abstractNumId="6" w15:restartNumberingAfterBreak="0">
    <w:nsid w:val="583C4E09"/>
    <w:multiLevelType w:val="hybridMultilevel"/>
    <w:tmpl w:val="FE4EBBE8"/>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7" w15:restartNumberingAfterBreak="0">
    <w:nsid w:val="625357B3"/>
    <w:multiLevelType w:val="hybridMultilevel"/>
    <w:tmpl w:val="5AFAA498"/>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B07337B"/>
    <w:multiLevelType w:val="multilevel"/>
    <w:tmpl w:val="2B9ED698"/>
    <w:lvl w:ilvl="0">
      <w:start w:val="1"/>
      <w:numFmt w:val="decimal"/>
      <w:pStyle w:val="TEO-SSMberschrift1"/>
      <w:lvlText w:val="%1."/>
      <w:lvlJc w:val="left"/>
      <w:pPr>
        <w:tabs>
          <w:tab w:val="num" w:pos="1134"/>
        </w:tabs>
        <w:ind w:left="1134" w:hanging="850"/>
      </w:pPr>
      <w:rPr>
        <w:rFonts w:hint="default"/>
      </w:rPr>
    </w:lvl>
    <w:lvl w:ilvl="1">
      <w:start w:val="1"/>
      <w:numFmt w:val="decimal"/>
      <w:pStyle w:val="TEOSSMberschrift2"/>
      <w:lvlText w:val="%1.%2."/>
      <w:lvlJc w:val="left"/>
      <w:pPr>
        <w:tabs>
          <w:tab w:val="num" w:pos="1134"/>
        </w:tabs>
        <w:ind w:left="1134" w:hanging="850"/>
      </w:pPr>
      <w:rPr>
        <w:rFonts w:hint="default"/>
      </w:rPr>
    </w:lvl>
    <w:lvl w:ilvl="2">
      <w:start w:val="1"/>
      <w:numFmt w:val="decimal"/>
      <w:pStyle w:val="TEOSSMberschrift3"/>
      <w:lvlText w:val="%1.%2.%3."/>
      <w:lvlJc w:val="left"/>
      <w:pPr>
        <w:tabs>
          <w:tab w:val="num" w:pos="1134"/>
        </w:tabs>
        <w:ind w:left="1134" w:hanging="85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71180004"/>
    <w:multiLevelType w:val="multilevel"/>
    <w:tmpl w:val="F42E0D8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2"/>
      <w:numFmt w:val="decimal"/>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756906FC"/>
    <w:multiLevelType w:val="hybridMultilevel"/>
    <w:tmpl w:val="78DAAE70"/>
    <w:lvl w:ilvl="0" w:tplc="1804D81E">
      <w:start w:val="550"/>
      <w:numFmt w:val="bullet"/>
      <w:lvlText w:val="-"/>
      <w:lvlJc w:val="left"/>
      <w:pPr>
        <w:tabs>
          <w:tab w:val="num" w:pos="1065"/>
        </w:tabs>
        <w:ind w:left="1065" w:hanging="705"/>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851378285">
    <w:abstractNumId w:val="9"/>
  </w:num>
  <w:num w:numId="2" w16cid:durableId="1351032216">
    <w:abstractNumId w:val="1"/>
  </w:num>
  <w:num w:numId="3" w16cid:durableId="1719209529">
    <w:abstractNumId w:val="3"/>
  </w:num>
  <w:num w:numId="4" w16cid:durableId="581717841">
    <w:abstractNumId w:val="8"/>
  </w:num>
  <w:num w:numId="5" w16cid:durableId="1642074166">
    <w:abstractNumId w:val="8"/>
  </w:num>
  <w:num w:numId="6" w16cid:durableId="1518689870">
    <w:abstractNumId w:val="8"/>
  </w:num>
  <w:num w:numId="7" w16cid:durableId="513496746">
    <w:abstractNumId w:val="8"/>
  </w:num>
  <w:num w:numId="8" w16cid:durableId="1123428135">
    <w:abstractNumId w:val="8"/>
  </w:num>
  <w:num w:numId="9" w16cid:durableId="1379740813">
    <w:abstractNumId w:val="8"/>
  </w:num>
  <w:num w:numId="10" w16cid:durableId="26150308">
    <w:abstractNumId w:val="5"/>
  </w:num>
  <w:num w:numId="11" w16cid:durableId="2057423">
    <w:abstractNumId w:val="10"/>
  </w:num>
  <w:num w:numId="12" w16cid:durableId="93598728">
    <w:abstractNumId w:val="7"/>
  </w:num>
  <w:num w:numId="13" w16cid:durableId="671953553">
    <w:abstractNumId w:val="4"/>
  </w:num>
  <w:num w:numId="14" w16cid:durableId="232594280">
    <w:abstractNumId w:val="0"/>
  </w:num>
  <w:num w:numId="15" w16cid:durableId="1076854292">
    <w:abstractNumId w:val="6"/>
  </w:num>
  <w:num w:numId="16" w16cid:durableId="14180968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425"/>
  <w:doNotHyphenateCaps/>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B36"/>
    <w:rsid w:val="00002BC9"/>
    <w:rsid w:val="00012DDF"/>
    <w:rsid w:val="00032DAD"/>
    <w:rsid w:val="00046AC4"/>
    <w:rsid w:val="000521B6"/>
    <w:rsid w:val="0007672F"/>
    <w:rsid w:val="00077633"/>
    <w:rsid w:val="000C6F68"/>
    <w:rsid w:val="000F2764"/>
    <w:rsid w:val="00102198"/>
    <w:rsid w:val="00142105"/>
    <w:rsid w:val="00164F67"/>
    <w:rsid w:val="00173B58"/>
    <w:rsid w:val="001A7650"/>
    <w:rsid w:val="001B6357"/>
    <w:rsid w:val="001D765A"/>
    <w:rsid w:val="00224833"/>
    <w:rsid w:val="0025612D"/>
    <w:rsid w:val="00283829"/>
    <w:rsid w:val="00292D89"/>
    <w:rsid w:val="002B4FA8"/>
    <w:rsid w:val="002F67D3"/>
    <w:rsid w:val="003018F8"/>
    <w:rsid w:val="003060BC"/>
    <w:rsid w:val="00332733"/>
    <w:rsid w:val="00340EBB"/>
    <w:rsid w:val="003503FD"/>
    <w:rsid w:val="00352EE2"/>
    <w:rsid w:val="003674FF"/>
    <w:rsid w:val="00367845"/>
    <w:rsid w:val="00374564"/>
    <w:rsid w:val="003A4F82"/>
    <w:rsid w:val="003D2661"/>
    <w:rsid w:val="00407CD3"/>
    <w:rsid w:val="004423A5"/>
    <w:rsid w:val="0045354C"/>
    <w:rsid w:val="004668DA"/>
    <w:rsid w:val="0049141B"/>
    <w:rsid w:val="004B4B36"/>
    <w:rsid w:val="004C16C5"/>
    <w:rsid w:val="004D11A8"/>
    <w:rsid w:val="00541E2A"/>
    <w:rsid w:val="005561B8"/>
    <w:rsid w:val="00563AC4"/>
    <w:rsid w:val="00583B0B"/>
    <w:rsid w:val="0062064E"/>
    <w:rsid w:val="0077664D"/>
    <w:rsid w:val="00786A85"/>
    <w:rsid w:val="00793228"/>
    <w:rsid w:val="007C173F"/>
    <w:rsid w:val="007D4F71"/>
    <w:rsid w:val="00804106"/>
    <w:rsid w:val="00805AB3"/>
    <w:rsid w:val="0081151B"/>
    <w:rsid w:val="008315FE"/>
    <w:rsid w:val="00840794"/>
    <w:rsid w:val="00853EB4"/>
    <w:rsid w:val="0087339C"/>
    <w:rsid w:val="008B5023"/>
    <w:rsid w:val="00935A31"/>
    <w:rsid w:val="009509AA"/>
    <w:rsid w:val="009B7873"/>
    <w:rsid w:val="00A04588"/>
    <w:rsid w:val="00A5413B"/>
    <w:rsid w:val="00A62CF3"/>
    <w:rsid w:val="00AB6E5F"/>
    <w:rsid w:val="00B56F7E"/>
    <w:rsid w:val="00B827B7"/>
    <w:rsid w:val="00B9112D"/>
    <w:rsid w:val="00BE19CE"/>
    <w:rsid w:val="00BE7F9B"/>
    <w:rsid w:val="00CA1EFE"/>
    <w:rsid w:val="00D474BA"/>
    <w:rsid w:val="00D61318"/>
    <w:rsid w:val="00DA16E3"/>
    <w:rsid w:val="00DD38F7"/>
    <w:rsid w:val="00DF5F63"/>
    <w:rsid w:val="00E075D5"/>
    <w:rsid w:val="00E17826"/>
    <w:rsid w:val="00E20CF3"/>
    <w:rsid w:val="00E241B6"/>
    <w:rsid w:val="00E36C9C"/>
    <w:rsid w:val="00E47793"/>
    <w:rsid w:val="00E833E2"/>
    <w:rsid w:val="00EC7009"/>
    <w:rsid w:val="00ED71A4"/>
    <w:rsid w:val="00F074C6"/>
    <w:rsid w:val="00FA3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7C0A40"/>
  <w15:docId w15:val="{836A0E8D-885A-4611-9CA7-226A0D278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B5023"/>
    <w:rPr>
      <w:rFonts w:ascii="Humnst777 BT" w:hAnsi="Humnst777 BT"/>
      <w:sz w:val="22"/>
      <w:szCs w:val="24"/>
    </w:rPr>
  </w:style>
  <w:style w:type="paragraph" w:styleId="berschrift1">
    <w:name w:val="heading 1"/>
    <w:basedOn w:val="Standard"/>
    <w:next w:val="Standard"/>
    <w:qFormat/>
    <w:pPr>
      <w:keepNext/>
      <w:spacing w:after="60"/>
      <w:outlineLvl w:val="0"/>
    </w:pPr>
    <w:rPr>
      <w:b/>
      <w:bCs/>
      <w:color w:val="CC0000"/>
      <w:sz w:val="28"/>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Gliederung5">
    <w:name w:val="Gliederung5"/>
    <w:basedOn w:val="Standard"/>
    <w:next w:val="Standard"/>
    <w:pPr>
      <w:keepNext/>
      <w:numPr>
        <w:ilvl w:val="3"/>
        <w:numId w:val="2"/>
      </w:numPr>
      <w:spacing w:before="240" w:after="60"/>
      <w:outlineLvl w:val="3"/>
    </w:pPr>
    <w:rPr>
      <w:szCs w:val="20"/>
    </w:rPr>
  </w:style>
  <w:style w:type="paragraph" w:customStyle="1" w:styleId="AufzhlungSpartak">
    <w:name w:val="Aufzählung_Spartak"/>
    <w:basedOn w:val="Standard"/>
    <w:pPr>
      <w:numPr>
        <w:numId w:val="3"/>
      </w:numPr>
    </w:pPr>
    <w:rPr>
      <w:rFonts w:ascii="Arial" w:hAnsi="Arial"/>
      <w:szCs w:val="20"/>
    </w:rPr>
  </w:style>
  <w:style w:type="paragraph" w:customStyle="1" w:styleId="TEOSSMberschrift2">
    <w:name w:val="TEO_SSM_Überschrift 2"/>
    <w:basedOn w:val="Standard"/>
    <w:pPr>
      <w:numPr>
        <w:ilvl w:val="1"/>
        <w:numId w:val="7"/>
      </w:numPr>
      <w:tabs>
        <w:tab w:val="num" w:pos="1418"/>
        <w:tab w:val="left" w:pos="1701"/>
      </w:tabs>
      <w:spacing w:before="120" w:after="120"/>
      <w:ind w:left="1135" w:right="284" w:hanging="851"/>
    </w:pPr>
    <w:rPr>
      <w:rFonts w:ascii="Times New Roman" w:hAnsi="Times New Roman" w:cs="Arial"/>
      <w:b/>
      <w:color w:val="000000"/>
      <w:sz w:val="24"/>
      <w:szCs w:val="22"/>
      <w:lang w:eastAsia="en-US"/>
    </w:rPr>
  </w:style>
  <w:style w:type="paragraph" w:customStyle="1" w:styleId="TEOSSMberschrift3">
    <w:name w:val="TEO_SSM_Überschrift 3"/>
    <w:basedOn w:val="TEOSSMberschrift2"/>
    <w:pPr>
      <w:numPr>
        <w:ilvl w:val="2"/>
        <w:numId w:val="8"/>
      </w:numPr>
      <w:tabs>
        <w:tab w:val="clear" w:pos="1418"/>
        <w:tab w:val="clear" w:pos="1701"/>
        <w:tab w:val="left" w:pos="851"/>
      </w:tabs>
      <w:ind w:left="1135" w:hanging="851"/>
    </w:pPr>
  </w:style>
  <w:style w:type="paragraph" w:customStyle="1" w:styleId="TEOSSMberschrift4">
    <w:name w:val="TEO_SSM_Überschrift 4"/>
    <w:basedOn w:val="TEOSSMberschrift2"/>
    <w:pPr>
      <w:numPr>
        <w:ilvl w:val="0"/>
        <w:numId w:val="0"/>
      </w:numPr>
      <w:tabs>
        <w:tab w:val="num" w:pos="1134"/>
        <w:tab w:val="left" w:pos="1418"/>
      </w:tabs>
      <w:ind w:left="1135" w:hanging="851"/>
    </w:pPr>
    <w:rPr>
      <w:sz w:val="20"/>
    </w:rPr>
  </w:style>
  <w:style w:type="paragraph" w:customStyle="1" w:styleId="TEO-SSMText">
    <w:name w:val="TEO-SSM_Text"/>
    <w:basedOn w:val="Standard"/>
    <w:pPr>
      <w:tabs>
        <w:tab w:val="left" w:pos="1134"/>
        <w:tab w:val="left" w:pos="1276"/>
        <w:tab w:val="left" w:pos="1418"/>
        <w:tab w:val="left" w:pos="1701"/>
      </w:tabs>
      <w:spacing w:before="120"/>
      <w:ind w:left="1134" w:right="284"/>
      <w:jc w:val="both"/>
    </w:pPr>
    <w:rPr>
      <w:rFonts w:ascii="Times New Roman" w:hAnsi="Times New Roman" w:cs="Arial"/>
      <w:color w:val="000000"/>
      <w:sz w:val="20"/>
      <w:szCs w:val="20"/>
      <w:lang w:eastAsia="en-US"/>
    </w:rPr>
  </w:style>
  <w:style w:type="paragraph" w:customStyle="1" w:styleId="TEO-SSMAuflistung">
    <w:name w:val="TEO-SSM_Auflistung"/>
    <w:basedOn w:val="TEO-SSMText"/>
    <w:pPr>
      <w:tabs>
        <w:tab w:val="clear" w:pos="1418"/>
      </w:tabs>
      <w:ind w:left="1148" w:hanging="14"/>
    </w:pPr>
  </w:style>
  <w:style w:type="paragraph" w:customStyle="1" w:styleId="TEO-SSMberschrift1">
    <w:name w:val="TEO-SSM_Überschrift 1"/>
    <w:basedOn w:val="TEO-SSMText"/>
    <w:pPr>
      <w:numPr>
        <w:numId w:val="9"/>
      </w:numPr>
      <w:spacing w:before="360" w:after="120"/>
      <w:ind w:left="1135" w:hanging="851"/>
      <w:jc w:val="left"/>
    </w:pPr>
    <w:rPr>
      <w:b/>
      <w:sz w:val="28"/>
    </w:rPr>
  </w:style>
  <w:style w:type="paragraph" w:customStyle="1" w:styleId="Textalt">
    <w:name w:val="Text alt"/>
    <w:basedOn w:val="Standard"/>
    <w:pPr>
      <w:spacing w:after="120"/>
      <w:ind w:left="1134"/>
      <w:jc w:val="both"/>
    </w:pPr>
    <w:rPr>
      <w:i/>
      <w:sz w:val="20"/>
      <w:szCs w:val="20"/>
    </w:rPr>
  </w:style>
  <w:style w:type="paragraph" w:customStyle="1" w:styleId="Texteinzug">
    <w:name w:val="Texteinzug"/>
    <w:basedOn w:val="Standard"/>
    <w:pPr>
      <w:numPr>
        <w:numId w:val="10"/>
      </w:numPr>
      <w:spacing w:after="120"/>
    </w:pPr>
    <w:rPr>
      <w:b/>
      <w:sz w:val="24"/>
      <w:szCs w:val="20"/>
    </w:rPr>
  </w:style>
  <w:style w:type="paragraph" w:styleId="Kopfzeile">
    <w:name w:val="header"/>
    <w:basedOn w:val="Standard"/>
    <w:pPr>
      <w:tabs>
        <w:tab w:val="center" w:pos="4536"/>
        <w:tab w:val="right" w:pos="9072"/>
      </w:tabs>
    </w:pPr>
  </w:style>
  <w:style w:type="paragraph" w:customStyle="1" w:styleId="berschrift">
    <w:name w:val="Überschrift"/>
    <w:basedOn w:val="berschrift1"/>
    <w:rPr>
      <w:color w:val="auto"/>
      <w:sz w:val="32"/>
    </w:rPr>
  </w:style>
  <w:style w:type="paragraph" w:customStyle="1" w:styleId="TexteinzugFormularfeld">
    <w:name w:val="Texteinzug Formularfeld"/>
    <w:basedOn w:val="Texteinzug"/>
    <w:pPr>
      <w:numPr>
        <w:numId w:val="0"/>
      </w:numPr>
      <w:spacing w:before="60"/>
      <w:ind w:left="1078" w:hanging="539"/>
    </w:pPr>
    <w:rPr>
      <w:rFonts w:cs="Arial"/>
      <w:b w:val="0"/>
      <w:bCs/>
    </w:rPr>
  </w:style>
  <w:style w:type="paragraph" w:styleId="Fuzeile">
    <w:name w:val="footer"/>
    <w:basedOn w:val="Standard"/>
    <w:link w:val="FuzeileZchn"/>
    <w:uiPriority w:val="99"/>
    <w:pPr>
      <w:tabs>
        <w:tab w:val="center" w:pos="4536"/>
        <w:tab w:val="right" w:pos="9072"/>
      </w:tabs>
    </w:pPr>
  </w:style>
  <w:style w:type="character" w:styleId="Zeilennummer">
    <w:name w:val="line number"/>
    <w:rsid w:val="00374564"/>
  </w:style>
  <w:style w:type="character" w:customStyle="1" w:styleId="FuzeileZchn">
    <w:name w:val="Fußzeile Zchn"/>
    <w:link w:val="Fuzeile"/>
    <w:uiPriority w:val="99"/>
    <w:rsid w:val="00173B58"/>
    <w:rPr>
      <w:rFonts w:ascii="Humnst777 BT" w:hAnsi="Humnst777 BT"/>
      <w:sz w:val="22"/>
      <w:szCs w:val="24"/>
    </w:rPr>
  </w:style>
  <w:style w:type="paragraph" w:customStyle="1" w:styleId="Flietext">
    <w:name w:val="Fließtext"/>
    <w:link w:val="FlietextZchn"/>
    <w:rsid w:val="0049141B"/>
    <w:pPr>
      <w:autoSpaceDE w:val="0"/>
      <w:autoSpaceDN w:val="0"/>
      <w:adjustRightInd w:val="0"/>
      <w:ind w:firstLine="480"/>
    </w:pPr>
    <w:rPr>
      <w:rFonts w:ascii="Humnst777 BT" w:hAnsi="Humnst777 BT"/>
      <w:color w:val="000000"/>
      <w:sz w:val="24"/>
      <w:szCs w:val="24"/>
    </w:rPr>
  </w:style>
  <w:style w:type="character" w:customStyle="1" w:styleId="FlietextZchn">
    <w:name w:val="Fließtext Zchn"/>
    <w:basedOn w:val="Absatz-Standardschriftart"/>
    <w:link w:val="Flietext"/>
    <w:rsid w:val="0049141B"/>
    <w:rPr>
      <w:rFonts w:ascii="Humnst777 BT" w:hAnsi="Humnst777 BT"/>
      <w:color w:val="000000"/>
      <w:sz w:val="24"/>
      <w:szCs w:val="24"/>
    </w:rPr>
  </w:style>
  <w:style w:type="paragraph" w:styleId="Listenabsatz">
    <w:name w:val="List Paragraph"/>
    <w:basedOn w:val="Standard"/>
    <w:uiPriority w:val="34"/>
    <w:qFormat/>
    <w:rsid w:val="003018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877135">
      <w:bodyDiv w:val="1"/>
      <w:marLeft w:val="0"/>
      <w:marRight w:val="0"/>
      <w:marTop w:val="0"/>
      <w:marBottom w:val="0"/>
      <w:divBdr>
        <w:top w:val="none" w:sz="0" w:space="0" w:color="auto"/>
        <w:left w:val="none" w:sz="0" w:space="0" w:color="auto"/>
        <w:bottom w:val="none" w:sz="0" w:space="0" w:color="auto"/>
        <w:right w:val="none" w:sz="0" w:space="0" w:color="auto"/>
      </w:divBdr>
    </w:div>
    <w:div w:id="271203962">
      <w:bodyDiv w:val="1"/>
      <w:marLeft w:val="0"/>
      <w:marRight w:val="0"/>
      <w:marTop w:val="0"/>
      <w:marBottom w:val="0"/>
      <w:divBdr>
        <w:top w:val="none" w:sz="0" w:space="0" w:color="auto"/>
        <w:left w:val="none" w:sz="0" w:space="0" w:color="auto"/>
        <w:bottom w:val="none" w:sz="0" w:space="0" w:color="auto"/>
        <w:right w:val="none" w:sz="0" w:space="0" w:color="auto"/>
      </w:divBdr>
    </w:div>
    <w:div w:id="688606680">
      <w:bodyDiv w:val="1"/>
      <w:marLeft w:val="0"/>
      <w:marRight w:val="0"/>
      <w:marTop w:val="0"/>
      <w:marBottom w:val="0"/>
      <w:divBdr>
        <w:top w:val="none" w:sz="0" w:space="0" w:color="auto"/>
        <w:left w:val="none" w:sz="0" w:space="0" w:color="auto"/>
        <w:bottom w:val="none" w:sz="0" w:space="0" w:color="auto"/>
        <w:right w:val="none" w:sz="0" w:space="0" w:color="auto"/>
      </w:divBdr>
    </w:div>
    <w:div w:id="1133258364">
      <w:bodyDiv w:val="1"/>
      <w:marLeft w:val="0"/>
      <w:marRight w:val="0"/>
      <w:marTop w:val="0"/>
      <w:marBottom w:val="0"/>
      <w:divBdr>
        <w:top w:val="none" w:sz="0" w:space="0" w:color="auto"/>
        <w:left w:val="none" w:sz="0" w:space="0" w:color="auto"/>
        <w:bottom w:val="none" w:sz="0" w:space="0" w:color="auto"/>
        <w:right w:val="none" w:sz="0" w:space="0" w:color="auto"/>
      </w:divBdr>
    </w:div>
    <w:div w:id="1148284108">
      <w:bodyDiv w:val="1"/>
      <w:marLeft w:val="0"/>
      <w:marRight w:val="0"/>
      <w:marTop w:val="0"/>
      <w:marBottom w:val="0"/>
      <w:divBdr>
        <w:top w:val="none" w:sz="0" w:space="0" w:color="auto"/>
        <w:left w:val="none" w:sz="0" w:space="0" w:color="auto"/>
        <w:bottom w:val="none" w:sz="0" w:space="0" w:color="auto"/>
        <w:right w:val="none" w:sz="0" w:space="0" w:color="auto"/>
      </w:divBdr>
    </w:div>
    <w:div w:id="1349604454">
      <w:bodyDiv w:val="1"/>
      <w:marLeft w:val="0"/>
      <w:marRight w:val="0"/>
      <w:marTop w:val="0"/>
      <w:marBottom w:val="0"/>
      <w:divBdr>
        <w:top w:val="none" w:sz="0" w:space="0" w:color="auto"/>
        <w:left w:val="none" w:sz="0" w:space="0" w:color="auto"/>
        <w:bottom w:val="none" w:sz="0" w:space="0" w:color="auto"/>
        <w:right w:val="none" w:sz="0" w:space="0" w:color="auto"/>
      </w:divBdr>
    </w:div>
    <w:div w:id="157385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9D6991D-A465-4CE7-AC20-3BF86A23283D}">
  <we:reference id="wa104380518" version="3.1.0.0" store="de-DE" storeType="OMEX"/>
  <we:alternateReferences>
    <we:reference id="WA104380518" version="3.1.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templateReference xmlns="http://schema.officeatwork.com/2022/templateReference">
  <reference>officeatworkDocumentPart: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</reference>
</templateReferenc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3931bc2e-f28a-4158-913d-7e264bb88128"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5DDB464C7E79447BFA3A23680245248" ma:contentTypeVersion="16" ma:contentTypeDescription="Create a new document." ma:contentTypeScope="" ma:versionID="5725b8ef4c4fb8c76274e2a77eaf0155">
  <xsd:schema xmlns:xsd="http://www.w3.org/2001/XMLSchema" xmlns:xs="http://www.w3.org/2001/XMLSchema" xmlns:p="http://schemas.microsoft.com/office/2006/metadata/properties" xmlns:ns3="3931bc2e-f28a-4158-913d-7e264bb88128" xmlns:ns4="be6ee821-8bee-4de4-9e46-5eab2604f7c6" targetNamespace="http://schemas.microsoft.com/office/2006/metadata/properties" ma:root="true" ma:fieldsID="ec1c5da8ad6d4fc2124b9751114351c7" ns3:_="" ns4:_="">
    <xsd:import namespace="3931bc2e-f28a-4158-913d-7e264bb88128"/>
    <xsd:import namespace="be6ee821-8bee-4de4-9e46-5eab2604f7c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31bc2e-f28a-4158-913d-7e264bb881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e6ee821-8bee-4de4-9e46-5eab2604f7c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8BE355-5996-6D13-01A0-17084B797DBF}">
  <ds:schemaRefs>
    <ds:schemaRef ds:uri="http://schema.officeatwork.com/2022/templateReference"/>
  </ds:schemaRefs>
</ds:datastoreItem>
</file>

<file path=customXml/itemProps2.xml><?xml version="1.0" encoding="utf-8"?>
<ds:datastoreItem xmlns:ds="http://schemas.openxmlformats.org/officeDocument/2006/customXml" ds:itemID="{B418E16C-2CBC-49C3-9F3B-D28930DFC743}">
  <ds:schemaRefs>
    <ds:schemaRef ds:uri="http://schemas.microsoft.com/sharepoint/v3/contenttype/forms"/>
  </ds:schemaRefs>
</ds:datastoreItem>
</file>

<file path=customXml/itemProps3.xml><?xml version="1.0" encoding="utf-8"?>
<ds:datastoreItem xmlns:ds="http://schemas.openxmlformats.org/officeDocument/2006/customXml" ds:itemID="{24C8F947-C4EC-4C5A-8583-E89819D6594C}">
  <ds:schemaRefs>
    <ds:schemaRef ds:uri="http://schemas.openxmlformats.org/officeDocument/2006/bibliography"/>
  </ds:schemaRefs>
</ds:datastoreItem>
</file>

<file path=customXml/itemProps4.xml><?xml version="1.0" encoding="utf-8"?>
<ds:datastoreItem xmlns:ds="http://schemas.openxmlformats.org/officeDocument/2006/customXml" ds:itemID="{49D573E1-D3DC-4A16-8D02-AC85C004E0B7}">
  <ds:schemaRefs>
    <ds:schemaRef ds:uri="http://schemas.microsoft.com/office/2006/metadata/properties"/>
    <ds:schemaRef ds:uri="http://schemas.microsoft.com/office/infopath/2007/PartnerControls"/>
    <ds:schemaRef ds:uri="3931bc2e-f28a-4158-913d-7e264bb88128"/>
  </ds:schemaRefs>
</ds:datastoreItem>
</file>

<file path=customXml/itemProps5.xml><?xml version="1.0" encoding="utf-8"?>
<ds:datastoreItem xmlns:ds="http://schemas.openxmlformats.org/officeDocument/2006/customXml" ds:itemID="{644B5FE8-BEAA-4C6C-9161-231B1499F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31bc2e-f28a-4158-913d-7e264bb88128"/>
    <ds:schemaRef ds:uri="be6ee821-8bee-4de4-9e46-5eab2604f7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1943</Words>
  <Characters>13836</Characters>
  <Application>Microsoft Office Word</Application>
  <DocSecurity>0</DocSecurity>
  <Lines>115</Lines>
  <Paragraphs>31</Paragraphs>
  <ScaleCrop>false</ScaleCrop>
  <HeadingPairs>
    <vt:vector size="2" baseType="variant">
      <vt:variant>
        <vt:lpstr>Titel</vt:lpstr>
      </vt:variant>
      <vt:variant>
        <vt:i4>1</vt:i4>
      </vt:variant>
    </vt:vector>
  </HeadingPairs>
  <TitlesOfParts>
    <vt:vector size="1" baseType="lpstr">
      <vt:lpstr/>
    </vt:vector>
  </TitlesOfParts>
  <Company>assmann gruppe</Company>
  <LinksUpToDate>false</LinksUpToDate>
  <CharactersWithSpaces>15748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Dern</dc:creator>
  <cp:lastModifiedBy>Yücel, Merve</cp:lastModifiedBy>
  <cp:revision>15</cp:revision>
  <cp:lastPrinted>2015-05-29T10:13:00Z</cp:lastPrinted>
  <dcterms:created xsi:type="dcterms:W3CDTF">2024-05-02T18:29:00Z</dcterms:created>
  <dcterms:modified xsi:type="dcterms:W3CDTF">2024-05-21T14:07:00Z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0x010100A5DDB464C7E79447BFA3A23680245248</vt:lpwstr>
  </property>
</Properties>
</file>